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3499D08F">
      <w:pPr>
        <w:rPr>
          <w:rFonts w:hint="default"/>
          <w:sz w:val="2"/>
          <w:szCs w:val="24"/>
        </w:rPr>
      </w:pPr>
      <w:bookmarkStart w:id="0" w:name="_GoBack"/>
      <w:bookmarkEnd w:id="0"/>
    </w:p>
    <w:tbl>
      <w:tblPr>
        <w:tblStyle w:val="5"/>
        <w:tblW w:w="1530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306"/>
      </w:tblGrid>
      <w:tr w14:paraId="37883B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9581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8CAAD2C">
            <w:pPr>
              <w:spacing w:line="1110" w:lineRule="exact"/>
              <w:ind w:left="20"/>
              <w:jc w:val="center"/>
              <w:rPr>
                <w:rFonts w:hint="eastAsia" w:ascii="微软雅黑" w:hAnsi="微软雅黑" w:eastAsia="微软雅黑"/>
                <w:b/>
                <w:sz w:val="8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84"/>
                <w:szCs w:val="24"/>
              </w:rPr>
              <w:t>岳阳</w:t>
            </w:r>
            <w:r>
              <w:rPr>
                <w:rFonts w:hint="eastAsia" w:ascii="微软雅黑" w:hAnsi="微软雅黑" w:eastAsia="微软雅黑"/>
                <w:b/>
                <w:sz w:val="84"/>
                <w:szCs w:val="24"/>
                <w:lang w:val="en-US" w:eastAsia="zh-CN"/>
              </w:rPr>
              <w:t>市康复医院</w:t>
            </w:r>
            <w:r>
              <w:rPr>
                <w:rFonts w:hint="eastAsia" w:ascii="微软雅黑" w:hAnsi="微软雅黑" w:eastAsia="微软雅黑"/>
                <w:b/>
                <w:sz w:val="84"/>
                <w:szCs w:val="24"/>
              </w:rPr>
              <w:t>2026年度</w:t>
            </w:r>
          </w:p>
          <w:p w14:paraId="6A8001FF">
            <w:pPr>
              <w:spacing w:line="1110" w:lineRule="exact"/>
              <w:ind w:left="20"/>
              <w:jc w:val="center"/>
              <w:rPr>
                <w:rFonts w:hint="eastAsia" w:ascii="微软雅黑" w:hAnsi="微软雅黑" w:eastAsia="微软雅黑"/>
                <w:sz w:val="8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84"/>
                <w:szCs w:val="24"/>
              </w:rPr>
              <w:t>部门预算</w:t>
            </w:r>
          </w:p>
        </w:tc>
      </w:tr>
      <w:tr w14:paraId="581D69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442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682973B">
            <w:pPr>
              <w:spacing w:line="525" w:lineRule="exact"/>
              <w:ind w:left="20"/>
              <w:jc w:val="center"/>
              <w:rPr>
                <w:rFonts w:hint="eastAsia" w:ascii="Dialog" w:hAnsi="Dialog"/>
                <w:sz w:val="44"/>
                <w:szCs w:val="24"/>
              </w:rPr>
            </w:pPr>
            <w:r>
              <w:rPr>
                <w:rFonts w:hint="eastAsia" w:ascii="Dialog" w:hAnsi="Dialog"/>
                <w:sz w:val="44"/>
                <w:szCs w:val="24"/>
              </w:rPr>
              <w:t>目录</w:t>
            </w:r>
          </w:p>
        </w:tc>
      </w:tr>
      <w:tr w14:paraId="02F883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182" w:hRule="atLeast"/>
        </w:trPr>
        <w:tc>
          <w:tcPr>
            <w:tcW w:w="15306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6690EAF">
            <w:pPr>
              <w:rPr>
                <w:rFonts w:hint="default"/>
                <w:sz w:val="24"/>
                <w:szCs w:val="24"/>
              </w:rPr>
            </w:pPr>
          </w:p>
        </w:tc>
      </w:tr>
      <w:tr w14:paraId="2FE0C1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10262EA">
            <w:pPr>
              <w:spacing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第一部分  2026年部门预算说明</w:t>
            </w:r>
          </w:p>
        </w:tc>
      </w:tr>
      <w:tr w14:paraId="427053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275D4F2">
            <w:pPr>
              <w:spacing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第二部分  2026年部门预算公开表格</w:t>
            </w:r>
          </w:p>
        </w:tc>
      </w:tr>
      <w:tr w14:paraId="5F8F5F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EA3D273">
            <w:pPr>
              <w:spacing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1、收支总表</w:t>
            </w:r>
          </w:p>
        </w:tc>
      </w:tr>
      <w:tr w14:paraId="1159E3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F21B608">
            <w:pPr>
              <w:spacing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2、收入总表</w:t>
            </w:r>
          </w:p>
        </w:tc>
      </w:tr>
      <w:tr w14:paraId="5C5FA9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B5D4898">
            <w:pPr>
              <w:spacing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3、支出总表</w:t>
            </w:r>
          </w:p>
        </w:tc>
      </w:tr>
      <w:tr w14:paraId="248139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6524A80">
            <w:pPr>
              <w:spacing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4、支出预算分类汇总表（按政府预算经济分类）</w:t>
            </w:r>
          </w:p>
        </w:tc>
      </w:tr>
      <w:tr w14:paraId="1D392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039D1CE">
            <w:pPr>
              <w:spacing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5、支出预算分类汇总表（按部门预算经济分类）</w:t>
            </w:r>
          </w:p>
        </w:tc>
      </w:tr>
      <w:tr w14:paraId="6BD0B3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924D4C0">
            <w:pPr>
              <w:spacing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6、财政拨款收支总表</w:t>
            </w:r>
          </w:p>
        </w:tc>
      </w:tr>
      <w:tr w14:paraId="6E621E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159991A">
            <w:pPr>
              <w:spacing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7、一般公共预算支出表</w:t>
            </w:r>
          </w:p>
        </w:tc>
      </w:tr>
      <w:tr w14:paraId="616702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B018761">
            <w:pPr>
              <w:spacing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8、一般公共预算基本支出表-人员经费（工资福利支出）（按政府预算经济分类）</w:t>
            </w:r>
          </w:p>
        </w:tc>
      </w:tr>
      <w:tr w14:paraId="6F9879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E91B4D9">
            <w:pPr>
              <w:spacing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9、一般公共预算基本支出表-人员经费（工资福利支出）（按部门预算经济分类）</w:t>
            </w:r>
          </w:p>
        </w:tc>
      </w:tr>
      <w:tr w14:paraId="62473C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66FDDC2">
            <w:pPr>
              <w:spacing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10、一般公共预算基本支出表-人员经费（对个人和家庭的补助）（按政府预算经济分类）</w:t>
            </w:r>
          </w:p>
        </w:tc>
      </w:tr>
      <w:tr w14:paraId="0F00AF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7B8AF22">
            <w:pPr>
              <w:spacing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11、一般公共预算基本支出表-人员经费（对个人和家庭的补助）（按部门预算经济分类）</w:t>
            </w:r>
          </w:p>
        </w:tc>
      </w:tr>
      <w:tr w14:paraId="319AC4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B18F359">
            <w:pPr>
              <w:spacing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12、一般公共预算基本支出表-公用经费（商品和服务支出）（按政府预算经济分类）</w:t>
            </w:r>
          </w:p>
        </w:tc>
      </w:tr>
      <w:tr w14:paraId="2C7E41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6CE4E8E">
            <w:pPr>
              <w:spacing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13、一般公共预算基本支出表-公用经费（商品和服务支出）（按部门预算经济分类）</w:t>
            </w:r>
          </w:p>
        </w:tc>
      </w:tr>
      <w:tr w14:paraId="400905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9EAAD0E">
            <w:pPr>
              <w:spacing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14、一般公共预算“三公”经费支出表</w:t>
            </w:r>
          </w:p>
        </w:tc>
      </w:tr>
      <w:tr w14:paraId="0964D4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09F07E5">
            <w:pPr>
              <w:spacing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15、政府性基金预算支出表</w:t>
            </w:r>
          </w:p>
        </w:tc>
      </w:tr>
      <w:tr w14:paraId="7508FD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45C1509">
            <w:pPr>
              <w:spacing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16、政府性基金预算支出分类汇总表（按政府预算经济分类）</w:t>
            </w:r>
          </w:p>
        </w:tc>
      </w:tr>
      <w:tr w14:paraId="37DBCC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08F8DFA">
            <w:pPr>
              <w:spacing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17、政府性基金预算支出分类汇总表（按部门预算经济分类）</w:t>
            </w:r>
          </w:p>
        </w:tc>
      </w:tr>
      <w:tr w14:paraId="3C106A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B617D73">
            <w:pPr>
              <w:spacing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18、国有资本经营预算支出表</w:t>
            </w:r>
          </w:p>
        </w:tc>
      </w:tr>
      <w:tr w14:paraId="7A6300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165BF0B">
            <w:pPr>
              <w:spacing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19、财政专户管理资金预算支出表</w:t>
            </w:r>
          </w:p>
        </w:tc>
      </w:tr>
      <w:tr w14:paraId="5DB5D3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3FC2F07">
            <w:pPr>
              <w:spacing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20、专项资金预算汇总表</w:t>
            </w:r>
          </w:p>
        </w:tc>
      </w:tr>
      <w:tr w14:paraId="2E813D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1AA31D0">
            <w:pPr>
              <w:spacing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21、项目支出绩效目标表</w:t>
            </w:r>
          </w:p>
        </w:tc>
      </w:tr>
      <w:tr w14:paraId="3EB630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DDC6FD6">
            <w:pPr>
              <w:spacing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22、部门整体支出绩效目标表</w:t>
            </w:r>
          </w:p>
        </w:tc>
      </w:tr>
      <w:tr w14:paraId="5475D0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C6EBA6B">
            <w:pPr>
              <w:spacing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23、一般公共预算基本支出表</w:t>
            </w:r>
          </w:p>
        </w:tc>
      </w:tr>
      <w:tr w14:paraId="3D2B3E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4BB6B96">
            <w:pPr>
              <w:spacing w:line="375" w:lineRule="exact"/>
              <w:ind w:left="20"/>
              <w:rPr>
                <w:rFonts w:hint="eastAsia" w:ascii="Dialog" w:hAnsi="Dialog"/>
                <w:color w:val="FF0000"/>
                <w:sz w:val="32"/>
                <w:szCs w:val="24"/>
              </w:rPr>
            </w:pPr>
            <w:r>
              <w:rPr>
                <w:rFonts w:hint="eastAsia" w:ascii="Dialog" w:hAnsi="Dialog"/>
                <w:color w:val="FF0000"/>
                <w:sz w:val="32"/>
                <w:szCs w:val="24"/>
              </w:rPr>
              <w:t>注：以上部门预算公开报表中，空表表示本部门无相关收支情况。</w:t>
            </w:r>
          </w:p>
        </w:tc>
      </w:tr>
      <w:tr w14:paraId="5B0B00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182" w:hRule="atLeast"/>
        </w:trPr>
        <w:tc>
          <w:tcPr>
            <w:tcW w:w="15306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0C3EB57">
            <w:pPr>
              <w:rPr>
                <w:rFonts w:hint="default"/>
                <w:sz w:val="24"/>
                <w:szCs w:val="24"/>
              </w:rPr>
            </w:pPr>
          </w:p>
        </w:tc>
      </w:tr>
      <w:tr w14:paraId="0C1C25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182" w:hRule="atLeast"/>
        </w:trPr>
        <w:tc>
          <w:tcPr>
            <w:tcW w:w="15306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98DBD75">
            <w:pPr>
              <w:rPr>
                <w:rFonts w:hint="default"/>
                <w:sz w:val="24"/>
                <w:szCs w:val="24"/>
              </w:rPr>
            </w:pPr>
          </w:p>
        </w:tc>
      </w:tr>
      <w:tr w14:paraId="7B8182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FF1B4A0">
            <w:pPr>
              <w:spacing w:line="375" w:lineRule="exact"/>
              <w:ind w:left="20"/>
              <w:jc w:val="center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第一部分  2026年部门预算说明</w:t>
            </w:r>
          </w:p>
        </w:tc>
      </w:tr>
      <w:tr w14:paraId="18062F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182" w:hRule="atLeast"/>
        </w:trPr>
        <w:tc>
          <w:tcPr>
            <w:tcW w:w="15306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E440868">
            <w:pPr>
              <w:rPr>
                <w:rFonts w:hint="default"/>
                <w:sz w:val="24"/>
                <w:szCs w:val="24"/>
              </w:rPr>
            </w:pPr>
          </w:p>
        </w:tc>
      </w:tr>
      <w:tr w14:paraId="7EFED8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F7DE8CD">
            <w:pPr>
              <w:spacing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 xml:space="preserve">  一、部门基本概况</w:t>
            </w:r>
          </w:p>
        </w:tc>
      </w:tr>
      <w:tr w14:paraId="198AFB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F53F11C">
            <w:pPr>
              <w:spacing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 w:cs="宋体"/>
                <w:sz w:val="32"/>
                <w:szCs w:val="24"/>
              </w:rPr>
              <w:t xml:space="preserve">  （一）职能职责</w:t>
            </w:r>
          </w:p>
        </w:tc>
      </w:tr>
      <w:tr w14:paraId="20D3EF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4121536">
            <w:pPr>
              <w:spacing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 w:cs="宋体"/>
                <w:sz w:val="32"/>
                <w:szCs w:val="24"/>
              </w:rPr>
              <w:t xml:space="preserve">  医院成立于 1984 年，原名“岳阳地区精神病医院”，1988 年更名为“岳阳市康复医院”， 2004 年后相继加挂“岳阳市社会福利医院”、“岳阳市复退军人精神病医院”、“岳阳市复退军人慢性病疗养院”﹑“岳阳市优抚医院”、“岳阳市精神卫生中心”等牌子。医院承担着全市的精神疾病预防与诊疗，心理咨询与治疗、心理测量，优抚对象医疗巡诊、短期疗养、健康体检、伤残鉴定，精神病人司法、劳动、残疾、工伤鉴定，老年人医疗呵护，吸毒病人美沙酮维持治疗，流浪精神病人救治，肇事肇祸精神病人强制医疗等社会职能。 医院系副处级全额拨款事业单位，行政上隶属市民政局管理，业务上接受市卫健委和市退役军人事务局的指导与监督，是岳阳市重要民生服务窗口单位。</w:t>
            </w:r>
          </w:p>
        </w:tc>
      </w:tr>
      <w:tr w14:paraId="76FEE8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A77B8DD">
            <w:pPr>
              <w:spacing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 w:cs="宋体"/>
                <w:sz w:val="32"/>
                <w:szCs w:val="24"/>
              </w:rPr>
              <w:t xml:space="preserve">  （二）机构设置</w:t>
            </w:r>
          </w:p>
        </w:tc>
      </w:tr>
      <w:tr w14:paraId="6DCBD7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0D56533">
            <w:pPr>
              <w:spacing w:line="375" w:lineRule="exact"/>
              <w:rPr>
                <w:rFonts w:hint="eastAsia" w:ascii="宋体"/>
                <w:sz w:val="32"/>
                <w:szCs w:val="24"/>
              </w:rPr>
            </w:pPr>
          </w:p>
          <w:tbl>
            <w:tblPr>
              <w:tblStyle w:val="5"/>
              <w:tblW w:w="15306" w:type="dxa"/>
              <w:tblInd w:w="5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5306"/>
            </w:tblGrid>
            <w:tr w14:paraId="7F7E026F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wBefore w:w="0" w:type="dxa"/>
                <w:wAfter w:w="0" w:type="dxa"/>
                <w:trHeight w:val="364" w:hRule="atLeast"/>
              </w:trPr>
              <w:tc>
                <w:tcPr>
                  <w:tcW w:w="15306" w:type="dxa"/>
                  <w:tcBorders>
                    <w:top w:val="single" w:color="FFFFFF" w:sz="4" w:space="0"/>
                    <w:left w:val="single" w:color="FFFFFF" w:sz="4" w:space="0"/>
                    <w:bottom w:val="single" w:color="FFFFFF" w:sz="4" w:space="0"/>
                    <w:right w:val="single" w:color="FFFFFF" w:sz="4" w:space="0"/>
                    <w:tl2br w:val="nil"/>
                    <w:tr2bl w:val="nil"/>
                  </w:tcBorders>
                  <w:shd w:val="clear" w:color="auto" w:fill="FFFFFF"/>
                  <w:noWrap w:val="0"/>
                  <w:vAlign w:val="center"/>
                </w:tcPr>
                <w:p w14:paraId="4BFD7966">
                  <w:pPr>
                    <w:spacing w:line="375" w:lineRule="exact"/>
                    <w:ind w:left="20"/>
                    <w:rPr>
                      <w:rFonts w:hint="eastAsia" w:ascii="宋体"/>
                      <w:sz w:val="32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sz w:val="32"/>
                      <w:szCs w:val="24"/>
                    </w:rPr>
                    <w:t xml:space="preserve">  本单位设党政管理内设机构14个：办公室、人事科、财务科、医务科、护理部、后勤科、医保科、药剂科、信息科、院感科、科教科、质控科、设备科、安保科。本单位领导职数为：党委书记（副处职）1名、院长（副处职）1名，副院长（正科职）4名，副科职领导职数16名（含党委办主任、退休人员管理服务科科长各1名）。</w:t>
                  </w:r>
                </w:p>
              </w:tc>
            </w:tr>
          </w:tbl>
          <w:p w14:paraId="16E57F70">
            <w:pPr>
              <w:spacing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</w:p>
        </w:tc>
      </w:tr>
      <w:tr w14:paraId="2CF8DC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4F2986F">
            <w:pPr>
              <w:spacing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 w:cs="Dialog"/>
                <w:sz w:val="32"/>
                <w:szCs w:val="24"/>
              </w:rPr>
              <w:t xml:space="preserve">  二、单位预算单位构成</w:t>
            </w:r>
          </w:p>
        </w:tc>
      </w:tr>
      <w:tr w14:paraId="0EE3CD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D9FA5E7">
            <w:pPr>
              <w:spacing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 w:cs="宋体"/>
                <w:sz w:val="32"/>
                <w:szCs w:val="24"/>
              </w:rPr>
              <w:t xml:space="preserve">  本单位预算仅含本级预算。</w:t>
            </w:r>
          </w:p>
        </w:tc>
      </w:tr>
      <w:tr w14:paraId="4FC756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0E95F4C">
            <w:pPr>
              <w:spacing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 xml:space="preserve">  三、部门收支总体情况</w:t>
            </w:r>
          </w:p>
        </w:tc>
      </w:tr>
      <w:tr w14:paraId="5FD3BF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728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41674F9">
            <w:pPr>
              <w:spacing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 xml:space="preserve">  本部门2026年没有政府性基金预算拨款、国有资本经营预算收入和纳入专户管理的非税收入拨款收入，也没有使用政府性基金预算拨款、国有资本经营预算收入和纳入专户管理的非税收入拨款安排的支出，所以公开的附件15、16、17、18、19表均为空。</w:t>
            </w:r>
          </w:p>
        </w:tc>
      </w:tr>
      <w:tr w14:paraId="02B0F5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B84D90F">
            <w:pPr>
              <w:spacing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 xml:space="preserve">  （一）收入预算</w:t>
            </w:r>
          </w:p>
        </w:tc>
      </w:tr>
      <w:tr w14:paraId="1C5FC2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1469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8A473B2">
            <w:pPr>
              <w:spacing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 xml:space="preserve">  包括一般公共预算、政府性基金、国有资本经营预算等财政拨款收入，以及经营收入、事业收入等单位资金。2026年度本部门收入预算1702.51万元，其中，一般公共预算拨款1702.51万元，政府性基金预算资金0.00万元(所以公开的附件17为空)，国有资本经营预算资金0.00万元(所以公开的附件18为空)，财政专户管理资金0.00万元(所以公开的附件19为空)，上级补助收入资金0.00万元，事业单位经营收入资金0.00万元，上年结转结余0.00万元。(数据来源见表2)本部门2026年收入较去年减少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23.79</w:t>
            </w:r>
            <w:r>
              <w:rPr>
                <w:rFonts w:hint="eastAsia" w:ascii="宋体" w:hAnsi="宋体"/>
                <w:sz w:val="32"/>
                <w:szCs w:val="24"/>
              </w:rPr>
              <w:t>万元，下降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1.38</w:t>
            </w:r>
            <w:r>
              <w:rPr>
                <w:rFonts w:hint="eastAsia" w:ascii="宋体" w:hAnsi="宋体"/>
                <w:sz w:val="32"/>
                <w:szCs w:val="24"/>
              </w:rPr>
              <w:t>%，</w:t>
            </w:r>
            <w:r>
              <w:rPr>
                <w:rFonts w:hint="eastAsia" w:ascii="宋体" w:hAnsi="宋体" w:cs="宋体"/>
                <w:sz w:val="32"/>
                <w:szCs w:val="24"/>
              </w:rPr>
              <w:t>主要是因为基本人员、公用类的基本收入环比增长了</w:t>
            </w:r>
            <w:r>
              <w:rPr>
                <w:rFonts w:hint="eastAsia" w:ascii="宋体" w:hAnsi="宋体" w:cs="宋体"/>
                <w:sz w:val="32"/>
                <w:szCs w:val="24"/>
                <w:lang w:val="en-US" w:eastAsia="zh-CN"/>
              </w:rPr>
              <w:t>256.21</w:t>
            </w:r>
            <w:r>
              <w:rPr>
                <w:rFonts w:hint="eastAsia" w:ascii="宋体" w:hAnsi="宋体" w:cs="宋体"/>
                <w:sz w:val="32"/>
                <w:szCs w:val="24"/>
              </w:rPr>
              <w:t>万元，而项目资金收入环比下降</w:t>
            </w:r>
            <w:r>
              <w:rPr>
                <w:rFonts w:hint="eastAsia" w:ascii="宋体" w:hAnsi="宋体" w:cs="宋体"/>
                <w:sz w:val="32"/>
                <w:szCs w:val="24"/>
                <w:lang w:val="en-US" w:eastAsia="zh-CN"/>
              </w:rPr>
              <w:t>280.00</w:t>
            </w:r>
            <w:r>
              <w:rPr>
                <w:rFonts w:hint="eastAsia" w:ascii="宋体" w:hAnsi="宋体" w:cs="宋体"/>
                <w:sz w:val="32"/>
                <w:szCs w:val="24"/>
              </w:rPr>
              <w:t>万元。</w:t>
            </w:r>
          </w:p>
        </w:tc>
      </w:tr>
      <w:tr w14:paraId="57CF1B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2DC7593">
            <w:pPr>
              <w:spacing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 xml:space="preserve">  （二）支出预算</w:t>
            </w:r>
          </w:p>
        </w:tc>
      </w:tr>
      <w:tr w14:paraId="2B0E94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481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7E66FA3">
            <w:pPr>
              <w:spacing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 xml:space="preserve">  2026年本部门支出预算1702.51万元，其中，208社会保障和就业支出1476.98万元，210卫生健康支出99.35万元，221住房保障支出126.19万元，支出较去年减少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23.79</w:t>
            </w:r>
            <w:r>
              <w:rPr>
                <w:rFonts w:hint="eastAsia" w:ascii="宋体" w:hAnsi="宋体"/>
                <w:sz w:val="32"/>
                <w:szCs w:val="24"/>
              </w:rPr>
              <w:t>万元，下降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1.38</w:t>
            </w:r>
            <w:r>
              <w:rPr>
                <w:rFonts w:hint="eastAsia" w:ascii="宋体" w:hAnsi="宋体"/>
                <w:sz w:val="32"/>
                <w:szCs w:val="24"/>
              </w:rPr>
              <w:t>%，</w:t>
            </w:r>
            <w:r>
              <w:rPr>
                <w:rFonts w:hint="eastAsia" w:ascii="宋体" w:hAnsi="宋体" w:cs="宋体"/>
                <w:sz w:val="32"/>
                <w:szCs w:val="24"/>
              </w:rPr>
              <w:t>主要是因为基本人员、公用类的基本收入环比增长了</w:t>
            </w:r>
            <w:r>
              <w:rPr>
                <w:rFonts w:hint="eastAsia" w:ascii="宋体" w:hAnsi="宋体" w:cs="宋体"/>
                <w:sz w:val="32"/>
                <w:szCs w:val="24"/>
                <w:lang w:val="en-US" w:eastAsia="zh-CN"/>
              </w:rPr>
              <w:t>256.21</w:t>
            </w:r>
            <w:r>
              <w:rPr>
                <w:rFonts w:hint="eastAsia" w:ascii="宋体" w:hAnsi="宋体" w:cs="宋体"/>
                <w:sz w:val="32"/>
                <w:szCs w:val="24"/>
              </w:rPr>
              <w:t>万元，而项目资金收入环比下降</w:t>
            </w:r>
            <w:r>
              <w:rPr>
                <w:rFonts w:hint="eastAsia" w:ascii="宋体" w:hAnsi="宋体" w:cs="宋体"/>
                <w:sz w:val="32"/>
                <w:szCs w:val="24"/>
                <w:lang w:val="en-US" w:eastAsia="zh-CN"/>
              </w:rPr>
              <w:t>280.00</w:t>
            </w:r>
            <w:r>
              <w:rPr>
                <w:rFonts w:hint="eastAsia" w:ascii="宋体" w:hAnsi="宋体" w:cs="宋体"/>
                <w:sz w:val="32"/>
                <w:szCs w:val="24"/>
              </w:rPr>
              <w:t>万元。</w:t>
            </w:r>
          </w:p>
        </w:tc>
      </w:tr>
      <w:tr w14:paraId="79A02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66BA1A1">
            <w:pPr>
              <w:spacing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 xml:space="preserve">  四、一般公共预算拨款支出预算</w:t>
            </w:r>
          </w:p>
        </w:tc>
      </w:tr>
      <w:tr w14:paraId="769FBF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481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A22E855">
            <w:pPr>
              <w:spacing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 xml:space="preserve">  2026年一般公共预算拨款支出预算1702.51万元，其中，208社会保障和就业支出1476.98万元，占86.75%；210卫生健康支出99.35万元，占5.84%；221住房保障支出126.19万元，占7.41%；具体安排情况如下：</w:t>
            </w:r>
          </w:p>
        </w:tc>
      </w:tr>
      <w:tr w14:paraId="14FA6D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728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CF43CE3">
            <w:pPr>
              <w:spacing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 xml:space="preserve">  （一）基本支出：2026年基本支出年初预算数为1692.51万元（数据来源见表23），是指为保障单位机构正常运转、完成日常工作任务而发生的各项支出，包括用于基本工资、津贴补贴等人员经费以及办公费、印刷费、水电费、差旅费等日常公用经费。</w:t>
            </w:r>
          </w:p>
        </w:tc>
      </w:tr>
      <w:tr w14:paraId="391BB1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728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F28A8AE">
            <w:pPr>
              <w:spacing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 xml:space="preserve">  （二）项目支出：2026年项目支出年初预算数为10.00万元（数据来源见表20），是指部门为完成特定行政工作任务或事业发展目标而发生的支出，包括有关业务工作经费、运行维护经费、其他事业发展资金等。其中：流浪精神病人医疗和生活补助专项支出10.00万元，主要用于流浪精神病人医疗和生活补助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等方</w:t>
            </w:r>
            <w:r>
              <w:rPr>
                <w:rFonts w:hint="eastAsia" w:ascii="宋体" w:hAnsi="宋体"/>
                <w:sz w:val="32"/>
                <w:szCs w:val="24"/>
              </w:rPr>
              <w:t>面。</w:t>
            </w:r>
          </w:p>
        </w:tc>
      </w:tr>
      <w:tr w14:paraId="4CF309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5FF8390">
            <w:pPr>
              <w:spacing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 xml:space="preserve">  五、政府性基金预算支出</w:t>
            </w:r>
          </w:p>
        </w:tc>
      </w:tr>
      <w:tr w14:paraId="276349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18B3080">
            <w:pPr>
              <w:spacing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 xml:space="preserve">  2026年度本部门无政府性基金安排的支出，所以公开的附件15-17（政府性基金预算）为空。</w:t>
            </w:r>
          </w:p>
        </w:tc>
      </w:tr>
      <w:tr w14:paraId="22BAEE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11B56FE">
            <w:pPr>
              <w:spacing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 xml:space="preserve">  六、其他重要事项的情况说明</w:t>
            </w:r>
          </w:p>
        </w:tc>
      </w:tr>
      <w:tr w14:paraId="459E23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3FA21DF">
            <w:pPr>
              <w:spacing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 xml:space="preserve">  （一）机关运行经费</w:t>
            </w:r>
          </w:p>
        </w:tc>
      </w:tr>
      <w:tr w14:paraId="097E28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570CA03">
            <w:pPr>
              <w:spacing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32"/>
                <w:szCs w:val="24"/>
              </w:rPr>
              <w:t>本单位202</w:t>
            </w:r>
            <w:r>
              <w:rPr>
                <w:rFonts w:hint="eastAsia" w:ascii="宋体" w:hAnsi="宋体" w:cs="宋体"/>
                <w:sz w:val="32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sz w:val="32"/>
                <w:szCs w:val="24"/>
              </w:rPr>
              <w:t>年机关运行经费当年一般公共预算拨款7</w:t>
            </w:r>
            <w:r>
              <w:rPr>
                <w:rFonts w:hint="eastAsia" w:ascii="宋体" w:hAnsi="宋体" w:cs="宋体"/>
                <w:sz w:val="32"/>
                <w:szCs w:val="24"/>
                <w:lang w:val="en-US" w:eastAsia="zh-CN"/>
              </w:rPr>
              <w:t>3.79</w:t>
            </w:r>
            <w:r>
              <w:rPr>
                <w:rFonts w:hint="eastAsia" w:ascii="宋体" w:hAnsi="宋体" w:cs="宋体"/>
                <w:sz w:val="32"/>
                <w:szCs w:val="24"/>
              </w:rPr>
              <w:t>万元（数据来源见表12），比上一年</w:t>
            </w:r>
            <w:r>
              <w:rPr>
                <w:rFonts w:hint="eastAsia" w:ascii="宋体" w:hAnsi="宋体" w:cs="宋体"/>
                <w:sz w:val="32"/>
                <w:szCs w:val="24"/>
                <w:lang w:val="en-US" w:eastAsia="zh-CN"/>
              </w:rPr>
              <w:t>减少1.93</w:t>
            </w:r>
            <w:r>
              <w:rPr>
                <w:rFonts w:hint="eastAsia" w:ascii="宋体" w:hAnsi="宋体" w:cs="宋体"/>
                <w:sz w:val="32"/>
                <w:szCs w:val="24"/>
              </w:rPr>
              <w:t>万元，</w:t>
            </w:r>
            <w:r>
              <w:rPr>
                <w:rFonts w:hint="eastAsia" w:ascii="宋体" w:hAnsi="宋体" w:cs="宋体"/>
                <w:sz w:val="32"/>
                <w:szCs w:val="24"/>
                <w:lang w:val="en-US" w:eastAsia="zh-CN"/>
              </w:rPr>
              <w:t>下降2.55</w:t>
            </w:r>
            <w:r>
              <w:rPr>
                <w:rFonts w:hint="eastAsia" w:ascii="宋体" w:hAnsi="宋体" w:cs="宋体"/>
                <w:sz w:val="32"/>
                <w:szCs w:val="24"/>
              </w:rPr>
              <w:t>%。主要原因是</w:t>
            </w:r>
            <w:r>
              <w:rPr>
                <w:rFonts w:hint="eastAsia" w:ascii="宋体" w:hAnsi="宋体" w:cs="宋体"/>
                <w:sz w:val="32"/>
                <w:szCs w:val="24"/>
                <w:lang w:val="en-US" w:eastAsia="zh-CN"/>
              </w:rPr>
              <w:t>有在编人员正常退休</w:t>
            </w:r>
            <w:r>
              <w:rPr>
                <w:rFonts w:hint="eastAsia" w:ascii="宋体" w:hAnsi="宋体" w:cs="宋体"/>
                <w:sz w:val="32"/>
                <w:szCs w:val="24"/>
              </w:rPr>
              <w:t>。</w:t>
            </w:r>
          </w:p>
        </w:tc>
      </w:tr>
      <w:tr w14:paraId="3E5CC4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6951410">
            <w:pPr>
              <w:spacing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 xml:space="preserve">  （二）“三公”经费预算</w:t>
            </w:r>
          </w:p>
        </w:tc>
      </w:tr>
      <w:tr w14:paraId="4C1C0D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728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B5A2FF9">
            <w:pPr>
              <w:spacing w:line="375" w:lineRule="exact"/>
              <w:ind w:left="20"/>
              <w:rPr>
                <w:rFonts w:hint="eastAsia" w:ascii="宋体" w:hAnsi="宋体" w:cs="Times New Roman"/>
                <w:sz w:val="32"/>
                <w:szCs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32"/>
                <w:szCs w:val="24"/>
              </w:rPr>
              <w:t xml:space="preserve">  本部门2026年“三公”经费预算数0.00万元（数据来源见表14），其中，公务接待费0.00万元，因公出国（境）费0.00万元，公务用车购置及运行费0.00万元（其中，公务用车购置费0.00万元，公务用车运行费0.00万元）。2026年三公经费预算较上年减少</w:t>
            </w:r>
            <w:r>
              <w:rPr>
                <w:rFonts w:hint="eastAsia" w:ascii="宋体" w:hAnsi="宋体" w:cs="Times New Roman"/>
                <w:sz w:val="32"/>
                <w:szCs w:val="24"/>
                <w:lang w:val="en-US" w:eastAsia="zh-CN"/>
              </w:rPr>
              <w:t>6.00</w:t>
            </w:r>
            <w:r>
              <w:rPr>
                <w:rFonts w:hint="eastAsia" w:ascii="宋体" w:hAnsi="宋体" w:cs="Times New Roman"/>
                <w:sz w:val="32"/>
                <w:szCs w:val="24"/>
              </w:rPr>
              <w:t>万元，下降</w:t>
            </w:r>
            <w:r>
              <w:rPr>
                <w:rFonts w:hint="eastAsia" w:ascii="宋体" w:hAnsi="宋体" w:cs="Times New Roman"/>
                <w:sz w:val="32"/>
                <w:szCs w:val="24"/>
                <w:lang w:val="en-US" w:eastAsia="zh-CN"/>
              </w:rPr>
              <w:t>100.00</w:t>
            </w:r>
            <w:r>
              <w:rPr>
                <w:rFonts w:hint="eastAsia" w:ascii="宋体" w:hAnsi="宋体" w:cs="Times New Roman"/>
                <w:sz w:val="32"/>
                <w:szCs w:val="24"/>
              </w:rPr>
              <w:t>%，主要原因是</w:t>
            </w:r>
            <w:r>
              <w:rPr>
                <w:rFonts w:hint="eastAsia" w:ascii="宋体" w:hAnsi="宋体" w:cs="Times New Roman"/>
                <w:sz w:val="32"/>
                <w:szCs w:val="24"/>
                <w:lang w:val="en-US" w:eastAsia="zh-CN"/>
              </w:rPr>
              <w:t>厉行节约，压缩三公经费开支。</w:t>
            </w:r>
          </w:p>
        </w:tc>
      </w:tr>
      <w:tr w14:paraId="57FE73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37D6CF8">
            <w:pPr>
              <w:spacing w:line="375" w:lineRule="exact"/>
              <w:ind w:left="20"/>
              <w:rPr>
                <w:rFonts w:hint="eastAsia" w:ascii="宋体" w:hAnsi="宋体" w:cs="Times New Roman"/>
                <w:sz w:val="32"/>
                <w:szCs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32"/>
                <w:szCs w:val="24"/>
              </w:rPr>
              <w:t xml:space="preserve">  （三）一般性支出情况</w:t>
            </w:r>
          </w:p>
        </w:tc>
      </w:tr>
      <w:tr w14:paraId="461F14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1480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29804F2">
            <w:pPr>
              <w:spacing w:line="375" w:lineRule="exact"/>
              <w:ind w:left="20"/>
              <w:rPr>
                <w:rFonts w:hint="eastAsia" w:ascii="宋体" w:hAnsi="宋体" w:cs="Times New Roman"/>
                <w:sz w:val="32"/>
                <w:szCs w:val="24"/>
              </w:rPr>
            </w:pPr>
            <w:r>
              <w:rPr>
                <w:rFonts w:hint="eastAsia" w:ascii="宋体" w:hAnsi="宋体" w:cs="Times New Roman"/>
                <w:sz w:val="32"/>
                <w:szCs w:val="24"/>
              </w:rPr>
              <w:t xml:space="preserve">  2026年度本部门未计划安排会议、培训，未计划举办节庆、晚会、论坛、赛事活动。</w:t>
            </w:r>
          </w:p>
        </w:tc>
      </w:tr>
      <w:tr w14:paraId="531AB0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5E1A77B">
            <w:pPr>
              <w:spacing w:line="375" w:lineRule="exact"/>
              <w:ind w:left="20"/>
              <w:rPr>
                <w:rFonts w:hint="eastAsia" w:ascii="宋体" w:hAnsi="宋体" w:cs="Times New Roman"/>
                <w:sz w:val="32"/>
                <w:szCs w:val="24"/>
              </w:rPr>
            </w:pPr>
            <w:r>
              <w:rPr>
                <w:rFonts w:hint="eastAsia" w:ascii="宋体" w:hAnsi="宋体" w:cs="Times New Roman"/>
                <w:sz w:val="32"/>
                <w:szCs w:val="24"/>
              </w:rPr>
              <w:t xml:space="preserve">  （四）委托业务费情况</w:t>
            </w:r>
          </w:p>
        </w:tc>
      </w:tr>
      <w:tr w14:paraId="10FB73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728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DF2ED26">
            <w:pPr>
              <w:spacing w:line="375" w:lineRule="exact"/>
              <w:ind w:left="20"/>
              <w:rPr>
                <w:rFonts w:hint="eastAsia" w:ascii="宋体" w:hAnsi="宋体" w:cs="Times New Roman"/>
                <w:sz w:val="32"/>
                <w:szCs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32"/>
                <w:szCs w:val="24"/>
              </w:rPr>
              <w:t xml:space="preserve">  本部门2026年本级委托业务费</w:t>
            </w:r>
            <w:r>
              <w:rPr>
                <w:rFonts w:hint="eastAsia" w:ascii="宋体" w:hAnsi="宋体" w:cs="Times New Roman"/>
                <w:sz w:val="32"/>
                <w:szCs w:val="24"/>
                <w:lang w:val="en-US" w:eastAsia="zh-CN"/>
              </w:rPr>
              <w:t>0.00</w:t>
            </w:r>
            <w:r>
              <w:rPr>
                <w:rFonts w:hint="eastAsia" w:ascii="宋体" w:hAnsi="宋体" w:cs="Times New Roman"/>
                <w:sz w:val="32"/>
                <w:szCs w:val="24"/>
              </w:rPr>
              <w:t>万元，</w:t>
            </w:r>
            <w:r>
              <w:rPr>
                <w:rFonts w:hint="eastAsia" w:ascii="宋体" w:hAnsi="宋体" w:cs="Times New Roman"/>
                <w:sz w:val="32"/>
                <w:szCs w:val="24"/>
                <w:lang w:val="en-US" w:eastAsia="zh-CN"/>
              </w:rPr>
              <w:t>与上年持平</w:t>
            </w:r>
            <w:r>
              <w:rPr>
                <w:rFonts w:hint="eastAsia" w:ascii="宋体" w:hAnsi="宋体" w:cs="Times New Roman"/>
                <w:sz w:val="32"/>
                <w:szCs w:val="24"/>
              </w:rPr>
              <w:t>，主要原因是</w:t>
            </w:r>
            <w:r>
              <w:rPr>
                <w:rFonts w:hint="eastAsia" w:ascii="宋体" w:hAnsi="宋体" w:cs="Times New Roman"/>
                <w:sz w:val="32"/>
                <w:szCs w:val="24"/>
                <w:lang w:val="en-US" w:eastAsia="zh-CN"/>
              </w:rPr>
              <w:t>无相关业务发生。</w:t>
            </w:r>
          </w:p>
        </w:tc>
      </w:tr>
      <w:tr w14:paraId="4B8375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FFB4684">
            <w:pPr>
              <w:spacing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 xml:space="preserve">  （五）政府采购情况</w:t>
            </w:r>
          </w:p>
        </w:tc>
      </w:tr>
      <w:tr w14:paraId="34DA81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728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4730CE7">
            <w:pPr>
              <w:spacing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 xml:space="preserve">  本部门2026年政府采购预算总额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6.00</w:t>
            </w:r>
            <w:r>
              <w:rPr>
                <w:rFonts w:hint="eastAsia" w:ascii="宋体" w:hAnsi="宋体"/>
                <w:sz w:val="32"/>
                <w:szCs w:val="24"/>
              </w:rPr>
              <w:t>万元，其中工程类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0.000</w:t>
            </w:r>
            <w:r>
              <w:rPr>
                <w:rFonts w:hint="eastAsia" w:ascii="宋体" w:hAnsi="宋体"/>
                <w:sz w:val="32"/>
                <w:szCs w:val="24"/>
              </w:rPr>
              <w:t>万元，货物类万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0.00</w:t>
            </w:r>
            <w:r>
              <w:rPr>
                <w:rFonts w:hint="eastAsia" w:ascii="宋体" w:hAnsi="宋体"/>
                <w:sz w:val="32"/>
                <w:szCs w:val="24"/>
              </w:rPr>
              <w:t>元，服务类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6.00</w:t>
            </w:r>
            <w:r>
              <w:rPr>
                <w:rFonts w:hint="eastAsia" w:ascii="宋体" w:hAnsi="宋体"/>
                <w:sz w:val="32"/>
                <w:szCs w:val="24"/>
              </w:rPr>
              <w:t>万元。（没有政府采购预算的也需要在总额，工程类，货物类，服务类分别填0）</w:t>
            </w:r>
          </w:p>
        </w:tc>
      </w:tr>
      <w:tr w14:paraId="4585A9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BA2B9D2">
            <w:pPr>
              <w:spacing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 xml:space="preserve">  （六）国有资产占有使用及新增资产配置情况</w:t>
            </w:r>
          </w:p>
        </w:tc>
      </w:tr>
      <w:tr w14:paraId="21D13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2210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5652A4E">
            <w:pPr>
              <w:spacing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 xml:space="preserve">  截至上年底，本部门共有车辆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32"/>
                <w:szCs w:val="24"/>
              </w:rPr>
              <w:t>辆，其中领导干部用车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/>
                <w:sz w:val="32"/>
                <w:szCs w:val="24"/>
              </w:rPr>
              <w:t>辆，一般公务用车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/>
                <w:sz w:val="32"/>
                <w:szCs w:val="24"/>
              </w:rPr>
              <w:t>辆，其他用车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32"/>
                <w:szCs w:val="24"/>
              </w:rPr>
              <w:t>辆。单位价值50万元以上通用设备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/>
                <w:sz w:val="32"/>
                <w:szCs w:val="24"/>
              </w:rPr>
              <w:t>台，单位价值100万元以上专用设备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/>
                <w:sz w:val="32"/>
                <w:szCs w:val="24"/>
              </w:rPr>
              <w:t xml:space="preserve">台。 </w:t>
            </w:r>
          </w:p>
          <w:p w14:paraId="0AE59490">
            <w:pPr>
              <w:spacing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 xml:space="preserve">  2026年拟报废处置车辆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/>
                <w:sz w:val="32"/>
                <w:szCs w:val="24"/>
              </w:rPr>
              <w:t>辆，其中：报废处置领导干部用车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/>
                <w:sz w:val="32"/>
                <w:szCs w:val="24"/>
              </w:rPr>
              <w:t>辆，报废处置一般公务用车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/>
                <w:sz w:val="32"/>
                <w:szCs w:val="24"/>
              </w:rPr>
              <w:t>辆，报废处置其他用车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/>
                <w:sz w:val="32"/>
                <w:szCs w:val="24"/>
              </w:rPr>
              <w:t>辆，报废处置单位价值50万元以上通用设备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/>
                <w:sz w:val="32"/>
                <w:szCs w:val="24"/>
              </w:rPr>
              <w:t>台，报废处置单位价值100万元以上通用设备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/>
                <w:sz w:val="32"/>
                <w:szCs w:val="24"/>
              </w:rPr>
              <w:t>台。拟新增配置车辆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/>
                <w:sz w:val="32"/>
                <w:szCs w:val="24"/>
              </w:rPr>
              <w:t>辆，其中领导干部用车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/>
                <w:sz w:val="32"/>
                <w:szCs w:val="24"/>
              </w:rPr>
              <w:t>辆，一般公务用车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/>
                <w:sz w:val="32"/>
                <w:szCs w:val="24"/>
              </w:rPr>
              <w:t>辆，其他用车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/>
                <w:sz w:val="32"/>
                <w:szCs w:val="24"/>
              </w:rPr>
              <w:t>辆。</w:t>
            </w:r>
          </w:p>
          <w:p w14:paraId="0E6194DA">
            <w:pPr>
              <w:spacing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 xml:space="preserve">  2026年度本部门未计划处置或新增车辆、设备等。</w:t>
            </w:r>
          </w:p>
        </w:tc>
      </w:tr>
      <w:tr w14:paraId="58ACC2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66C6CAB">
            <w:pPr>
              <w:spacing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 xml:space="preserve">  （七）预算绩效目标说明</w:t>
            </w:r>
          </w:p>
        </w:tc>
      </w:tr>
      <w:tr w14:paraId="356D74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481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59BC116">
            <w:pPr>
              <w:spacing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 xml:space="preserve">    本部门所有支出实行绩效目标管理。纳入2026年部门整体支出绩效目标的金额为1702.51万元，其中，基本支出1692.51万元，项目支出10.00万元，详见文尾附表中部门预算公开表格的表21-22。</w:t>
            </w:r>
          </w:p>
        </w:tc>
      </w:tr>
      <w:tr w14:paraId="78D8AD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519455A">
            <w:pPr>
              <w:spacing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 xml:space="preserve">  七、名词解释</w:t>
            </w:r>
          </w:p>
        </w:tc>
      </w:tr>
      <w:tr w14:paraId="41D96F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1105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2FE8A2F">
            <w:pPr>
              <w:spacing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 xml:space="preserve">  1、机关运行经费：是指各部门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      </w:r>
          </w:p>
        </w:tc>
      </w:tr>
      <w:tr w14:paraId="22709E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1105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B6E983F">
            <w:pPr>
              <w:spacing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 xml:space="preserve">  2、“三公”经费：纳入财政预算管理的“三公“经费，是指用一般公共预算拨款安排的公务接待费、公务用车购置及运行维护费和因公出国（境）费。其中，公务接待费反映部门按规定开支的各类公务接待支出；公务用车购置及运行费反映部门公务用车车辆购置支出（含车辆购置税），以及燃料费、维修费、保险费等支出；因公出国（境）费反映部门公务出国（境）的国际旅费、国外城市间交通费、食宿费等支出。</w:t>
            </w:r>
          </w:p>
        </w:tc>
      </w:tr>
      <w:tr w14:paraId="71761A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182" w:hRule="atLeast"/>
        </w:trPr>
        <w:tc>
          <w:tcPr>
            <w:tcW w:w="15306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A9CF1E0">
            <w:pPr>
              <w:rPr>
                <w:rFonts w:hint="default"/>
                <w:sz w:val="24"/>
                <w:szCs w:val="24"/>
              </w:rPr>
            </w:pPr>
          </w:p>
        </w:tc>
      </w:tr>
      <w:tr w14:paraId="7FAA0C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182" w:hRule="atLeast"/>
        </w:trPr>
        <w:tc>
          <w:tcPr>
            <w:tcW w:w="15306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AC98AD2">
            <w:pPr>
              <w:rPr>
                <w:rFonts w:hint="default"/>
                <w:sz w:val="24"/>
                <w:szCs w:val="24"/>
              </w:rPr>
            </w:pPr>
          </w:p>
        </w:tc>
      </w:tr>
      <w:tr w14:paraId="54C20F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182" w:hRule="atLeast"/>
        </w:trPr>
        <w:tc>
          <w:tcPr>
            <w:tcW w:w="15306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D8022CF">
            <w:pPr>
              <w:rPr>
                <w:rFonts w:hint="default"/>
                <w:sz w:val="24"/>
                <w:szCs w:val="24"/>
              </w:rPr>
            </w:pPr>
          </w:p>
        </w:tc>
      </w:tr>
      <w:tr w14:paraId="460B4C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7C4616B">
            <w:pPr>
              <w:spacing w:line="375" w:lineRule="exact"/>
              <w:ind w:left="20"/>
              <w:jc w:val="center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第二部分  2026年部门预算公开表格</w:t>
            </w:r>
          </w:p>
        </w:tc>
      </w:tr>
      <w:tr w14:paraId="73AB25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B009E82">
            <w:pPr>
              <w:spacing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>1、收支总表</w:t>
            </w:r>
          </w:p>
        </w:tc>
      </w:tr>
      <w:tr w14:paraId="755081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6CBE6B9">
            <w:pPr>
              <w:spacing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>2、收入总表</w:t>
            </w:r>
          </w:p>
        </w:tc>
      </w:tr>
      <w:tr w14:paraId="39D0B3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A8891E2">
            <w:pPr>
              <w:spacing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>3、支出总表</w:t>
            </w:r>
          </w:p>
        </w:tc>
      </w:tr>
      <w:tr w14:paraId="3B49EF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2848F8E">
            <w:pPr>
              <w:spacing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>4、支出预算分类汇总表（按政府预算经济分类）</w:t>
            </w:r>
          </w:p>
        </w:tc>
      </w:tr>
      <w:tr w14:paraId="2F2EDF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4C1D61F">
            <w:pPr>
              <w:spacing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>5、支出预算分类汇总表（按部门预算经济分类）</w:t>
            </w:r>
          </w:p>
        </w:tc>
      </w:tr>
      <w:tr w14:paraId="5452E5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74A8C2F">
            <w:pPr>
              <w:spacing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>6、财政拨款收支总表</w:t>
            </w:r>
          </w:p>
        </w:tc>
      </w:tr>
      <w:tr w14:paraId="62F8CF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666927E">
            <w:pPr>
              <w:spacing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>7、一般公共预算支出表</w:t>
            </w:r>
          </w:p>
        </w:tc>
      </w:tr>
      <w:tr w14:paraId="5C3B30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43127D4">
            <w:pPr>
              <w:spacing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>8、一般公共预算基本支出表-人员经费（工资福利支出）（按政府预算经济分类）</w:t>
            </w:r>
          </w:p>
        </w:tc>
      </w:tr>
      <w:tr w14:paraId="4EB2BA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F6934C5">
            <w:pPr>
              <w:spacing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>9、一般公共预算基本支出表-人员经费（工资福利支出）（按部门预算经济分类）</w:t>
            </w:r>
          </w:p>
        </w:tc>
      </w:tr>
      <w:tr w14:paraId="3CDF8A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1DFDB2F">
            <w:pPr>
              <w:spacing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>10、一般公共预算基本支出表-人员经费（对个人和家庭的补助）（按政府预算经济分类）</w:t>
            </w:r>
          </w:p>
        </w:tc>
      </w:tr>
      <w:tr w14:paraId="1A7609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91093CF">
            <w:pPr>
              <w:spacing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>11、一般公共预算基本支出表-人员经费（对个人和家庭的补助）（按部门预算经济分类）</w:t>
            </w:r>
          </w:p>
        </w:tc>
      </w:tr>
      <w:tr w14:paraId="13CEDE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DEF5D51">
            <w:pPr>
              <w:spacing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>12、一般公共预算基本支出表-公用经费（商品和服务支出）（按政府预算经济分类）</w:t>
            </w:r>
          </w:p>
        </w:tc>
      </w:tr>
      <w:tr w14:paraId="297ACB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0A9023E">
            <w:pPr>
              <w:spacing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>13、一般公共预算基本支出表-公用经费（商品和服务支出）（按部门预算经济分类）</w:t>
            </w:r>
          </w:p>
        </w:tc>
      </w:tr>
      <w:tr w14:paraId="6D391C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28B3B88">
            <w:pPr>
              <w:spacing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>14、一般公共预算“三公”经费支出表</w:t>
            </w:r>
          </w:p>
        </w:tc>
      </w:tr>
      <w:tr w14:paraId="75673D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727B986">
            <w:pPr>
              <w:spacing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>15、政府性基金预算支出表</w:t>
            </w:r>
          </w:p>
        </w:tc>
      </w:tr>
      <w:tr w14:paraId="4844E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71A6855">
            <w:pPr>
              <w:spacing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>16、政府性基金预算支出分类汇总表（按政府预算经济分类）</w:t>
            </w:r>
          </w:p>
        </w:tc>
      </w:tr>
      <w:tr w14:paraId="7C6964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7FA76B3">
            <w:pPr>
              <w:spacing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>17、政府性基金预算支出分类汇总表（按部门预算经济分类）</w:t>
            </w:r>
          </w:p>
        </w:tc>
      </w:tr>
      <w:tr w14:paraId="30774C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035F05C">
            <w:pPr>
              <w:spacing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>18、国有资本经营预算支出表</w:t>
            </w:r>
          </w:p>
        </w:tc>
      </w:tr>
      <w:tr w14:paraId="324AE2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A209C7E">
            <w:pPr>
              <w:spacing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>19、财政专户管理资金预算支出表</w:t>
            </w:r>
          </w:p>
        </w:tc>
      </w:tr>
      <w:tr w14:paraId="55F1F1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F705F9C">
            <w:pPr>
              <w:spacing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>20、专项资金预算汇总表</w:t>
            </w:r>
          </w:p>
        </w:tc>
      </w:tr>
      <w:tr w14:paraId="2AEA17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EAC6007">
            <w:pPr>
              <w:spacing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>21、项目支出绩效目标表</w:t>
            </w:r>
          </w:p>
        </w:tc>
      </w:tr>
      <w:tr w14:paraId="7DC129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4FBE2FC">
            <w:pPr>
              <w:spacing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>22、部门整体支出绩效目标表</w:t>
            </w:r>
          </w:p>
        </w:tc>
      </w:tr>
      <w:tr w14:paraId="07B63A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F86F6BD">
            <w:pPr>
              <w:spacing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>23、一般公共预算基本支出表</w:t>
            </w:r>
          </w:p>
        </w:tc>
      </w:tr>
      <w:tr w14:paraId="602772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9C97212">
            <w:pPr>
              <w:spacing w:line="375" w:lineRule="exact"/>
              <w:ind w:left="20"/>
              <w:rPr>
                <w:rFonts w:hint="eastAsia" w:ascii="宋体" w:hAnsi="宋体"/>
                <w:color w:val="FF0000"/>
                <w:sz w:val="32"/>
                <w:szCs w:val="24"/>
              </w:rPr>
            </w:pPr>
            <w:r>
              <w:rPr>
                <w:rFonts w:hint="eastAsia" w:ascii="宋体" w:hAnsi="宋体"/>
                <w:b/>
                <w:color w:val="FF0000"/>
                <w:sz w:val="32"/>
                <w:szCs w:val="24"/>
              </w:rPr>
              <w:t>注：以上部门预算公开报表中，空表表示本部门无相关收支情况。</w:t>
            </w:r>
          </w:p>
        </w:tc>
      </w:tr>
    </w:tbl>
    <w:p w14:paraId="59D47002">
      <w:pPr>
        <w:rPr>
          <w:rFonts w:hint="default"/>
          <w:sz w:val="24"/>
          <w:szCs w:val="24"/>
        </w:rPr>
      </w:pPr>
    </w:p>
    <w:sectPr>
      <w:pgSz w:w="18708" w:h="15840"/>
      <w:pgMar w:top="388" w:right="1080" w:bottom="388" w:left="1080" w:header="720" w:footer="720" w:gutter="0"/>
      <w:lnNumType w:countBy="0" w:distance="36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roman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roman"/>
    <w:pitch w:val="default"/>
    <w:sig w:usb0="80000287" w:usb1="2ACF3C50" w:usb2="00000016" w:usb3="00000000" w:csb0="0004001F" w:csb1="00000000"/>
  </w:font>
  <w:font w:name="Dialog">
    <w:altName w:val="Times New Roman"/>
    <w:panose1 w:val="00000000000000000000"/>
    <w:charset w:val="86"/>
    <w:family w:val="roma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360"/>
  <w:drawingGridHorizontalSpacing w:val="120"/>
  <w:drawingGridVerticalSpacing w:val="120"/>
  <w:displayHorizontalDrawingGridEvery w:val="3"/>
  <w:displayVerticalDrawingGridEvery w:val="3"/>
  <w:doNotUseMarginsForDrawingGridOrigin w:val="1"/>
  <w:drawingGridHorizontalOrigin w:val="1701"/>
  <w:drawingGridVerticalOrigin w:val="1984"/>
  <w:doNotShadeFormData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20A46E9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iPriority="99" w:semiHidden="0" w:name="Normal"/>
    <w:lsdException w:uiPriority="99" w:semiHidden="0" w:name="heading 1"/>
    <w:lsdException w:uiPriority="99" w:semiHidden="0" w:name="heading 2"/>
    <w:lsdException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nhideWhenUsed="0" w:uiPriority="99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qFormat="1" w:unhideWhenUsed="0" w:uiPriority="99" w:semiHidden="0" w:name="index 1"/>
    <w:lsdException w:qFormat="1" w:unhideWhenUsed="0" w:uiPriority="99" w:semiHidden="0" w:name="index 2"/>
    <w:lsdException w:qFormat="1" w:unhideWhenUsed="0" w:uiPriority="99" w:semiHidden="0" w:name="index 3"/>
    <w:lsdException w:qFormat="1" w:unhideWhenUsed="0" w:uiPriority="99" w:semiHidden="0" w:name="index 4"/>
    <w:lsdException w:qFormat="1" w:unhideWhenUsed="0" w:uiPriority="99" w:semiHidden="0" w:name="index 5"/>
    <w:lsdException w:qFormat="1" w:unhideWhenUsed="0" w:uiPriority="99" w:semiHidden="0" w:name="index 6"/>
    <w:lsdException w:qFormat="1" w:unhideWhenUsed="0" w:uiPriority="99" w:semiHidden="0" w:name="index 7"/>
    <w:lsdException w:qFormat="1" w:unhideWhenUsed="0" w:uiPriority="99" w:semiHidden="0" w:name="index 8"/>
    <w:lsdException w:qFormat="1" w:unhideWhenUsed="0" w:uiPriority="99" w:semiHidden="0" w:name="index 9"/>
    <w:lsdException w:qFormat="1" w:unhideWhenUsed="0" w:uiPriority="99" w:semiHidden="0" w:name="toc 1"/>
    <w:lsdException w:qFormat="1" w:unhideWhenUsed="0" w:uiPriority="99" w:semiHidden="0" w:name="toc 2"/>
    <w:lsdException w:qFormat="1" w:unhideWhenUsed="0" w:uiPriority="99" w:semiHidden="0" w:name="toc 3"/>
    <w:lsdException w:qFormat="1" w:unhideWhenUsed="0" w:uiPriority="99" w:semiHidden="0" w:name="toc 4"/>
    <w:lsdException w:qFormat="1" w:unhideWhenUsed="0" w:uiPriority="99" w:semiHidden="0" w:name="toc 5"/>
    <w:lsdException w:qFormat="1" w:unhideWhenUsed="0" w:uiPriority="99" w:semiHidden="0" w:name="toc 6"/>
    <w:lsdException w:qFormat="1" w:unhideWhenUsed="0" w:uiPriority="99" w:semiHidden="0" w:name="toc 7"/>
    <w:lsdException w:qFormat="1" w:unhideWhenUsed="0" w:uiPriority="99" w:semiHidden="0" w:name="toc 8"/>
    <w:lsdException w:qFormat="1" w:unhideWhenUsed="0" w:uiPriority="99" w:semiHidden="0" w:name="toc 9"/>
    <w:lsdException w:qFormat="1" w:unhideWhenUsed="0" w:uiPriority="99" w:semiHidden="0" w:name="Normal Indent"/>
    <w:lsdException w:qFormat="1" w:unhideWhenUsed="0" w:uiPriority="99" w:semiHidden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qFormat="1" w:unhideWhenUsed="0" w:uiPriority="99" w:semiHidden="0" w:name="index heading"/>
    <w:lsdException w:qFormat="1" w:unhideWhenUsed="0" w:uiPriority="99" w:semiHidden="0" w:name="caption"/>
    <w:lsdException w:qFormat="1" w:unhideWhenUsed="0" w:uiPriority="99" w:semiHidden="0" w:name="table of figures"/>
    <w:lsdException w:qFormat="1" w:unhideWhenUsed="0" w:uiPriority="99" w:semiHidden="0" w:name="envelope address"/>
    <w:lsdException w:qFormat="1" w:unhideWhenUsed="0" w:uiPriority="99" w:semiHidden="0" w:name="envelope return"/>
    <w:lsdException w:qFormat="1" w:unhideWhenUsed="0" w:uiPriority="99" w:semiHidden="0" w:name="footnote reference"/>
    <w:lsdException w:qFormat="1" w:unhideWhenUsed="0" w:uiPriority="99" w:semiHidden="0" w:name="annotation reference"/>
    <w:lsdException w:qFormat="1" w:unhideWhenUsed="0" w:uiPriority="99" w:semiHidden="0" w:name="line number"/>
    <w:lsdException w:qFormat="1" w:unhideWhenUsed="0" w:uiPriority="99" w:semiHidden="0" w:name="page number"/>
    <w:lsdException w:qFormat="1" w:unhideWhenUsed="0" w:uiPriority="99" w:semiHidden="0" w:name="endnote reference"/>
    <w:lsdException w:qFormat="1" w:unhideWhenUsed="0" w:uiPriority="99" w:semiHidden="0" w:name="endnote text"/>
    <w:lsdException w:qFormat="1" w:unhideWhenUsed="0" w:uiPriority="99" w:semiHidden="0" w:name="table of authorities"/>
    <w:lsdException w:qFormat="1" w:unhideWhenUsed="0" w:uiPriority="99" w:semiHidden="0" w:name="macro"/>
    <w:lsdException w:qFormat="1" w:unhideWhenUsed="0" w:uiPriority="99" w:semiHidden="0" w:name="toa heading"/>
    <w:lsdException w:qFormat="1"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qFormat="1" w:unhideWhenUsed="0" w:uiPriority="99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99" w:semiHidden="0" w:name="List Bullet 2"/>
    <w:lsdException w:qFormat="1" w:unhideWhenUsed="0" w:uiPriority="99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qFormat="1" w:unhideWhenUsed="0" w:uiPriority="99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qFormat="1" w:unhideWhenUsed="0" w:uiPriority="99" w:semiHidden="0" w:name="Closing"/>
    <w:lsdException w:qFormat="1" w:unhideWhenUsed="0" w:uiPriority="99" w:semiHidden="0" w:name="Signature"/>
    <w:lsdException w:uiPriority="99" w:semiHidden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qFormat="1" w:unhideWhenUsed="0" w:uiPriority="99" w:semiHidden="0" w:name="List Continue"/>
    <w:lsdException w:qFormat="1" w:unhideWhenUsed="0" w:uiPriority="99" w:semiHidden="0" w:name="List Continue 2"/>
    <w:lsdException w:qFormat="1" w:unhideWhenUsed="0" w:uiPriority="99" w:semiHidden="0" w:name="List Continue 3"/>
    <w:lsdException w:qFormat="1" w:unhideWhenUsed="0" w:uiPriority="99" w:semiHidden="0" w:name="List Continue 4"/>
    <w:lsdException w:qFormat="1" w:unhideWhenUsed="0" w:uiPriority="99" w:semiHidden="0" w:name="List Continue 5"/>
    <w:lsdException w:qFormat="1" w:unhideWhenUsed="0" w:uiPriority="99" w:semiHidden="0" w:name="Message Header"/>
    <w:lsdException w:qFormat="1" w:unhideWhenUsed="0" w:uiPriority="99" w:semiHidden="0" w:name="Subtitle"/>
    <w:lsdException w:qFormat="1" w:unhideWhenUsed="0" w:uiPriority="99" w:semiHidden="0" w:name="Salutation"/>
    <w:lsdException w:qFormat="1" w:unhideWhenUsed="0" w:uiPriority="99" w:semiHidden="0" w:name="Date"/>
    <w:lsdException w:qFormat="1" w:unhideWhenUsed="0" w:uiPriority="99" w:semiHidden="0" w:name="Body Text First Indent"/>
    <w:lsdException w:qFormat="1" w:unhideWhenUsed="0" w:uiPriority="99" w:semiHidden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99" w:semiHidden="0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99" w:semiHidden="0" w:name="Strong"/>
    <w:lsdException w:qFormat="1" w:unhideWhenUsed="0" w:uiPriority="99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qFormat="1" w:unhideWhenUsed="0" w:uiPriority="99" w:semiHidden="0" w:name="E-mail Signature"/>
    <w:lsdException w:qFormat="1" w:unhideWhenUsed="0" w:uiPriority="99" w:semiHidden="0" w:name="Normal (Web)"/>
    <w:lsdException w:qFormat="1" w:unhideWhenUsed="0" w:uiPriority="99" w:semiHidden="0" w:name="HTML Acronym"/>
    <w:lsdException w:qFormat="1" w:unhideWhenUsed="0" w:uiPriority="99" w:semiHidden="0" w:name="HTML Address"/>
    <w:lsdException w:qFormat="1" w:unhideWhenUsed="0" w:uiPriority="99" w:semiHidden="0" w:name="HTML Cite"/>
    <w:lsdException w:qFormat="1" w:unhideWhenUsed="0" w:uiPriority="99" w:semiHidden="0" w:name="HTML Code"/>
    <w:lsdException w:qFormat="1" w:unhideWhenUsed="0" w:uiPriority="99" w:semiHidden="0" w:name="HTML Definition"/>
    <w:lsdException w:qFormat="1" w:unhideWhenUsed="0" w:uiPriority="99" w:semiHidden="0" w:name="HTML Keyboard"/>
    <w:lsdException w:qFormat="1" w:unhideWhenUsed="0" w:uiPriority="99" w:semiHidden="0" w:name="HTML Preformatted"/>
    <w:lsdException w:qFormat="1" w:unhideWhenUsed="0" w:uiPriority="99" w:semiHidden="0" w:name="HTML Sample"/>
    <w:lsdException w:qFormat="1" w:unhideWhenUsed="0" w:uiPriority="99" w:semiHidden="0" w:name="HTML Typewriter"/>
    <w:lsdException w:qFormat="1" w:unhideWhenUsed="0" w:uiPriority="99" w:semiHidden="0" w:name="HTML Variable"/>
    <w:lsdException w:qFormat="1" w:unhideWhenUsed="0" w:uiPriority="99" w:semiHidden="0" w:name="Normal Table"/>
    <w:lsdException w:qFormat="1" w:unhideWhenUsed="0" w:uiPriority="99" w:semiHidden="0" w:name="annotation subject"/>
    <w:lsdException w:qFormat="1" w:unhideWhenUsed="0" w:uiPriority="99" w:semiHidden="0" w:name="Table Simple 1"/>
    <w:lsdException w:qFormat="1" w:unhideWhenUsed="0" w:uiPriority="99" w:semiHidden="0" w:name="Table Simple 2"/>
    <w:lsdException w:qFormat="1" w:unhideWhenUsed="0" w:uiPriority="99" w:semiHidden="0" w:name="Table Simple 3"/>
    <w:lsdException w:qFormat="1" w:unhideWhenUsed="0" w:uiPriority="99" w:semiHidden="0" w:name="Table Classic 1"/>
    <w:lsdException w:qFormat="1" w:unhideWhenUsed="0" w:uiPriority="99" w:semiHidden="0" w:name="Table Classic 2"/>
    <w:lsdException w:qFormat="1" w:unhideWhenUsed="0" w:uiPriority="99" w:semiHidden="0" w:name="Table Classic 3"/>
    <w:lsdException w:qFormat="1" w:unhideWhenUsed="0" w:uiPriority="99" w:semiHidden="0" w:name="Table Classic 4"/>
    <w:lsdException w:qFormat="1" w:unhideWhenUsed="0" w:uiPriority="99" w:semiHidden="0" w:name="Table Colorful 1"/>
    <w:lsdException w:qFormat="1" w:unhideWhenUsed="0" w:uiPriority="99" w:semiHidden="0" w:name="Table Colorful 2"/>
    <w:lsdException w:qFormat="1" w:unhideWhenUsed="0" w:uiPriority="99" w:semiHidden="0" w:name="Table Colorful 3"/>
    <w:lsdException w:qFormat="1" w:unhideWhenUsed="0" w:uiPriority="99" w:semiHidden="0" w:name="Table Columns 1"/>
    <w:lsdException w:qFormat="1" w:unhideWhenUsed="0" w:uiPriority="99" w:semiHidden="0" w:name="Table Columns 2"/>
    <w:lsdException w:qFormat="1" w:unhideWhenUsed="0" w:uiPriority="99" w:semiHidden="0" w:name="Table Columns 3"/>
    <w:lsdException w:qFormat="1" w:unhideWhenUsed="0" w:uiPriority="99" w:semiHidden="0" w:name="Table Columns 4"/>
    <w:lsdException w:qFormat="1" w:unhideWhenUsed="0" w:uiPriority="99" w:semiHidden="0" w:name="Table Columns 5"/>
    <w:lsdException w:qFormat="1" w:unhideWhenUsed="0" w:uiPriority="99" w:semiHidden="0" w:name="Table Grid 1"/>
    <w:lsdException w:qFormat="1" w:unhideWhenUsed="0" w:uiPriority="99" w:semiHidden="0" w:name="Table Grid 2"/>
    <w:lsdException w:qFormat="1" w:unhideWhenUsed="0" w:uiPriority="99" w:semiHidden="0" w:name="Table Grid 3"/>
    <w:lsdException w:qFormat="1" w:unhideWhenUsed="0" w:uiPriority="99" w:semiHidden="0" w:name="Table Grid 4"/>
    <w:lsdException w:qFormat="1" w:unhideWhenUsed="0" w:uiPriority="99" w:semiHidden="0" w:name="Table Grid 5"/>
    <w:lsdException w:qFormat="1" w:unhideWhenUsed="0" w:uiPriority="99" w:semiHidden="0" w:name="Table Grid 6"/>
    <w:lsdException w:qFormat="1" w:unhideWhenUsed="0" w:uiPriority="99" w:semiHidden="0" w:name="Table Grid 7"/>
    <w:lsdException w:qFormat="1" w:unhideWhenUsed="0" w:uiPriority="99" w:semiHidden="0" w:name="Table Grid 8"/>
    <w:lsdException w:qFormat="1" w:unhideWhenUsed="0" w:uiPriority="99" w:semiHidden="0" w:name="Table List 1"/>
    <w:lsdException w:qFormat="1" w:unhideWhenUsed="0" w:uiPriority="99" w:semiHidden="0" w:name="Table List 2"/>
    <w:lsdException w:qFormat="1" w:unhideWhenUsed="0" w:uiPriority="99" w:semiHidden="0" w:name="Table List 3"/>
    <w:lsdException w:qFormat="1" w:unhideWhenUsed="0" w:uiPriority="99" w:semiHidden="0" w:name="Table List 4"/>
    <w:lsdException w:qFormat="1" w:unhideWhenUsed="0" w:uiPriority="99" w:semiHidden="0" w:name="Table List 5"/>
    <w:lsdException w:qFormat="1" w:unhideWhenUsed="0" w:uiPriority="99" w:semiHidden="0" w:name="Table List 6"/>
    <w:lsdException w:qFormat="1" w:unhideWhenUsed="0" w:uiPriority="99" w:semiHidden="0" w:name="Table List 7"/>
    <w:lsdException w:qFormat="1" w:unhideWhenUsed="0" w:uiPriority="99" w:semiHidden="0" w:name="Table List 8"/>
    <w:lsdException w:qFormat="1" w:unhideWhenUsed="0" w:uiPriority="99" w:semiHidden="0" w:name="Table 3D effects 1"/>
    <w:lsdException w:qFormat="1" w:unhideWhenUsed="0" w:uiPriority="99" w:semiHidden="0" w:name="Table 3D effects 2"/>
    <w:lsdException w:qFormat="1" w:unhideWhenUsed="0" w:uiPriority="99" w:semiHidden="0" w:name="Table 3D effects 3"/>
    <w:lsdException w:qFormat="1" w:unhideWhenUsed="0" w:uiPriority="99" w:semiHidden="0" w:name="Table Contemporary"/>
    <w:lsdException w:qFormat="1" w:unhideWhenUsed="0" w:uiPriority="99" w:semiHidden="0" w:name="Table Elegant"/>
    <w:lsdException w:qFormat="1" w:unhideWhenUsed="0" w:uiPriority="99" w:semiHidden="0" w:name="Table Professional"/>
    <w:lsdException w:qFormat="1" w:unhideWhenUsed="0" w:uiPriority="99" w:semiHidden="0" w:name="Table Subtle 1"/>
    <w:lsdException w:qFormat="1" w:unhideWhenUsed="0" w:uiPriority="99" w:semiHidden="0" w:name="Table Subtle 2"/>
    <w:lsdException w:qFormat="1" w:unhideWhenUsed="0" w:uiPriority="99" w:semiHidden="0" w:name="Table Web 1"/>
    <w:lsdException w:qFormat="1" w:unhideWhenUsed="0" w:uiPriority="99" w:semiHidden="0" w:name="Table Web 2"/>
    <w:lsdException w:qFormat="1" w:unhideWhenUsed="0" w:uiPriority="99" w:semiHidden="0" w:name="Table Web 3"/>
    <w:lsdException w:qFormat="1" w:unhideWhenUsed="0" w:uiPriority="99" w:semiHidden="0" w:name="Balloon Text"/>
    <w:lsdException w:qFormat="1" w:unhideWhenUsed="0" w:uiPriority="99" w:semiHidden="0" w:name="Table Grid"/>
    <w:lsdException w:qFormat="1" w:unhideWhenUsed="0" w:uiPriority="99" w:semiHidden="0" w:name="Table Theme"/>
    <w:lsdException w:qFormat="1" w:unhideWhenUsed="0" w:uiPriority="99" w:semiHidden="0" w:name="Light Shading"/>
    <w:lsdException w:qFormat="1" w:unhideWhenUsed="0" w:uiPriority="99" w:semiHidden="0" w:name="Light List"/>
    <w:lsdException w:qFormat="1" w:unhideWhenUsed="0" w:uiPriority="99" w:semiHidden="0" w:name="Light Grid"/>
    <w:lsdException w:qFormat="1" w:unhideWhenUsed="0" w:uiPriority="99" w:semiHidden="0" w:name="Medium Shading 1"/>
    <w:lsdException w:qFormat="1" w:unhideWhenUsed="0" w:uiPriority="99" w:semiHidden="0" w:name="Medium Shading 2"/>
    <w:lsdException w:qFormat="1" w:unhideWhenUsed="0" w:uiPriority="99" w:semiHidden="0" w:name="Medium List 1"/>
    <w:lsdException w:qFormat="1" w:unhideWhenUsed="0" w:uiPriority="99" w:semiHidden="0" w:name="Medium List 2"/>
    <w:lsdException w:qFormat="1" w:unhideWhenUsed="0" w:uiPriority="99" w:semiHidden="0" w:name="Medium Grid 1"/>
    <w:lsdException w:qFormat="1" w:unhideWhenUsed="0" w:uiPriority="99" w:semiHidden="0" w:name="Medium Grid 2"/>
    <w:lsdException w:qFormat="1" w:unhideWhenUsed="0" w:uiPriority="99" w:semiHidden="0" w:name="Medium Grid 3"/>
    <w:lsdException w:qFormat="1" w:unhideWhenUsed="0" w:uiPriority="99" w:semiHidden="0" w:name="Dark List"/>
    <w:lsdException w:qFormat="1" w:unhideWhenUsed="0" w:uiPriority="99" w:semiHidden="0" w:name="Colorful Shading"/>
    <w:lsdException w:qFormat="1" w:unhideWhenUsed="0" w:uiPriority="99" w:semiHidden="0" w:name="Colorful List"/>
    <w:lsdException w:qFormat="1" w:unhideWhenUsed="0" w:uiPriority="99" w:semiHidden="0" w:name="Colorful Grid"/>
    <w:lsdException w:qFormat="1" w:unhideWhenUsed="0" w:uiPriority="99" w:semiHidden="0" w:name="Light Shading Accent 1"/>
    <w:lsdException w:qFormat="1" w:unhideWhenUsed="0" w:uiPriority="99" w:semiHidden="0" w:name="Light List Accent 1"/>
    <w:lsdException w:qFormat="1" w:unhideWhenUsed="0" w:uiPriority="99" w:semiHidden="0" w:name="Light Grid Accent 1"/>
    <w:lsdException w:qFormat="1" w:unhideWhenUsed="0" w:uiPriority="99" w:semiHidden="0" w:name="Medium Shading 1 Accent 1"/>
    <w:lsdException w:qFormat="1" w:unhideWhenUsed="0" w:uiPriority="99" w:semiHidden="0" w:name="Medium Shading 2 Accent 1"/>
    <w:lsdException w:qFormat="1" w:unhideWhenUsed="0" w:uiPriority="99" w:semiHidden="0" w:name="Medium List 1 Accent 1"/>
    <w:lsdException w:qFormat="1" w:unhideWhenUsed="0" w:uiPriority="99" w:semiHidden="0" w:name="Medium List 2 Accent 1"/>
    <w:lsdException w:qFormat="1" w:unhideWhenUsed="0" w:uiPriority="99" w:semiHidden="0" w:name="Medium Grid 1 Accent 1"/>
    <w:lsdException w:qFormat="1" w:unhideWhenUsed="0" w:uiPriority="99" w:semiHidden="0" w:name="Medium Grid 2 Accent 1"/>
    <w:lsdException w:qFormat="1" w:unhideWhenUsed="0" w:uiPriority="99" w:semiHidden="0" w:name="Medium Grid 3 Accent 1"/>
    <w:lsdException w:qFormat="1" w:unhideWhenUsed="0" w:uiPriority="99" w:semiHidden="0" w:name="Dark List Accent 1"/>
    <w:lsdException w:qFormat="1" w:unhideWhenUsed="0" w:uiPriority="99" w:semiHidden="0" w:name="Colorful Shading Accent 1"/>
    <w:lsdException w:qFormat="1" w:unhideWhenUsed="0" w:uiPriority="99" w:semiHidden="0" w:name="Colorful List Accent 1"/>
    <w:lsdException w:qFormat="1" w:unhideWhenUsed="0" w:uiPriority="99" w:semiHidden="0" w:name="Colorful Grid Accent 1"/>
    <w:lsdException w:qFormat="1" w:unhideWhenUsed="0" w:uiPriority="99" w:semiHidden="0" w:name="Light Shading Accent 2"/>
    <w:lsdException w:qFormat="1" w:unhideWhenUsed="0" w:uiPriority="99" w:semiHidden="0" w:name="Light List Accent 2"/>
    <w:lsdException w:qFormat="1" w:unhideWhenUsed="0" w:uiPriority="99" w:semiHidden="0" w:name="Light Grid Accent 2"/>
    <w:lsdException w:qFormat="1" w:unhideWhenUsed="0" w:uiPriority="99" w:semiHidden="0" w:name="Medium Shading 1 Accent 2"/>
    <w:lsdException w:qFormat="1" w:unhideWhenUsed="0" w:uiPriority="99" w:semiHidden="0" w:name="Medium Shading 2 Accent 2"/>
    <w:lsdException w:qFormat="1" w:unhideWhenUsed="0" w:uiPriority="99" w:semiHidden="0" w:name="Medium List 1 Accent 2"/>
    <w:lsdException w:qFormat="1" w:unhideWhenUsed="0" w:uiPriority="99" w:semiHidden="0" w:name="Medium List 2 Accent 2"/>
    <w:lsdException w:qFormat="1" w:unhideWhenUsed="0" w:uiPriority="99" w:semiHidden="0" w:name="Medium Grid 1 Accent 2"/>
    <w:lsdException w:qFormat="1" w:unhideWhenUsed="0" w:uiPriority="99" w:semiHidden="0" w:name="Medium Grid 2 Accent 2"/>
    <w:lsdException w:qFormat="1" w:unhideWhenUsed="0" w:uiPriority="99" w:semiHidden="0" w:name="Medium Grid 3 Accent 2"/>
    <w:lsdException w:qFormat="1" w:unhideWhenUsed="0" w:uiPriority="99" w:semiHidden="0" w:name="Dark List Accent 2"/>
    <w:lsdException w:qFormat="1" w:unhideWhenUsed="0" w:uiPriority="99" w:semiHidden="0" w:name="Colorful Shading Accent 2"/>
    <w:lsdException w:qFormat="1" w:unhideWhenUsed="0" w:uiPriority="99" w:semiHidden="0" w:name="Colorful List Accent 2"/>
    <w:lsdException w:qFormat="1" w:unhideWhenUsed="0" w:uiPriority="99" w:semiHidden="0" w:name="Colorful Grid Accent 2"/>
    <w:lsdException w:qFormat="1" w:unhideWhenUsed="0" w:uiPriority="99" w:semiHidden="0" w:name="Light Shading Accent 3"/>
    <w:lsdException w:qFormat="1" w:unhideWhenUsed="0" w:uiPriority="99" w:semiHidden="0" w:name="Light List Accent 3"/>
    <w:lsdException w:qFormat="1" w:unhideWhenUsed="0" w:uiPriority="99" w:semiHidden="0" w:name="Light Grid Accent 3"/>
    <w:lsdException w:qFormat="1" w:unhideWhenUsed="0" w:uiPriority="99" w:semiHidden="0" w:name="Medium Shading 1 Accent 3"/>
    <w:lsdException w:qFormat="1" w:unhideWhenUsed="0" w:uiPriority="99" w:semiHidden="0" w:name="Medium Shading 2 Accent 3"/>
    <w:lsdException w:qFormat="1" w:unhideWhenUsed="0" w:uiPriority="99" w:semiHidden="0" w:name="Medium List 1 Accent 3"/>
    <w:lsdException w:qFormat="1" w:unhideWhenUsed="0" w:uiPriority="99" w:semiHidden="0" w:name="Medium List 2 Accent 3"/>
    <w:lsdException w:qFormat="1" w:unhideWhenUsed="0" w:uiPriority="99" w:semiHidden="0" w:name="Medium Grid 1 Accent 3"/>
    <w:lsdException w:qFormat="1" w:unhideWhenUsed="0" w:uiPriority="99" w:semiHidden="0" w:name="Medium Grid 2 Accent 3"/>
    <w:lsdException w:qFormat="1" w:unhideWhenUsed="0" w:uiPriority="99" w:semiHidden="0" w:name="Medium Grid 3 Accent 3"/>
    <w:lsdException w:qFormat="1" w:unhideWhenUsed="0" w:uiPriority="99" w:semiHidden="0" w:name="Dark List Accent 3"/>
    <w:lsdException w:qFormat="1" w:unhideWhenUsed="0" w:uiPriority="99" w:semiHidden="0" w:name="Colorful Shading Accent 3"/>
    <w:lsdException w:qFormat="1" w:unhideWhenUsed="0" w:uiPriority="99" w:semiHidden="0" w:name="Colorful List Accent 3"/>
    <w:lsdException w:qFormat="1" w:unhideWhenUsed="0" w:uiPriority="99" w:semiHidden="0" w:name="Colorful Grid Accent 3"/>
    <w:lsdException w:qFormat="1" w:unhideWhenUsed="0" w:uiPriority="99" w:semiHidden="0" w:name="Light Shading Accent 4"/>
    <w:lsdException w:qFormat="1" w:unhideWhenUsed="0" w:uiPriority="99" w:semiHidden="0" w:name="Light List Accent 4"/>
    <w:lsdException w:qFormat="1" w:unhideWhenUsed="0" w:uiPriority="99" w:semiHidden="0" w:name="Light Grid Accent 4"/>
    <w:lsdException w:qFormat="1" w:unhideWhenUsed="0" w:uiPriority="99" w:semiHidden="0" w:name="Medium Shading 1 Accent 4"/>
    <w:lsdException w:qFormat="1" w:unhideWhenUsed="0" w:uiPriority="99" w:semiHidden="0" w:name="Medium Shading 2 Accent 4"/>
    <w:lsdException w:qFormat="1" w:unhideWhenUsed="0" w:uiPriority="99" w:semiHidden="0" w:name="Medium List 1 Accent 4"/>
    <w:lsdException w:qFormat="1" w:unhideWhenUsed="0" w:uiPriority="99" w:semiHidden="0" w:name="Medium List 2 Accent 4"/>
    <w:lsdException w:qFormat="1" w:unhideWhenUsed="0" w:uiPriority="99" w:semiHidden="0" w:name="Medium Grid 1 Accent 4"/>
    <w:lsdException w:qFormat="1" w:unhideWhenUsed="0" w:uiPriority="99" w:semiHidden="0" w:name="Medium Grid 2 Accent 4"/>
    <w:lsdException w:qFormat="1" w:unhideWhenUsed="0" w:uiPriority="99" w:semiHidden="0" w:name="Medium Grid 3 Accent 4"/>
    <w:lsdException w:qFormat="1" w:unhideWhenUsed="0" w:uiPriority="99" w:semiHidden="0" w:name="Dark List Accent 4"/>
    <w:lsdException w:qFormat="1" w:unhideWhenUsed="0" w:uiPriority="99" w:semiHidden="0" w:name="Colorful Shading Accent 4"/>
    <w:lsdException w:qFormat="1" w:unhideWhenUsed="0" w:uiPriority="99" w:semiHidden="0" w:name="Colorful List Accent 4"/>
    <w:lsdException w:qFormat="1" w:unhideWhenUsed="0" w:uiPriority="99" w:semiHidden="0" w:name="Colorful Grid Accent 4"/>
    <w:lsdException w:qFormat="1" w:unhideWhenUsed="0" w:uiPriority="99" w:semiHidden="0" w:name="Light Shading Accent 5"/>
    <w:lsdException w:qFormat="1" w:unhideWhenUsed="0" w:uiPriority="99" w:semiHidden="0" w:name="Light List Accent 5"/>
    <w:lsdException w:qFormat="1" w:unhideWhenUsed="0" w:uiPriority="99" w:semiHidden="0" w:name="Light Grid Accent 5"/>
    <w:lsdException w:qFormat="1" w:unhideWhenUsed="0" w:uiPriority="99" w:semiHidden="0" w:name="Medium Shading 1 Accent 5"/>
    <w:lsdException w:qFormat="1" w:unhideWhenUsed="0" w:uiPriority="99" w:semiHidden="0" w:name="Medium Shading 2 Accent 5"/>
    <w:lsdException w:qFormat="1" w:unhideWhenUsed="0" w:uiPriority="99" w:semiHidden="0" w:name="Medium List 1 Accent 5"/>
    <w:lsdException w:qFormat="1" w:unhideWhenUsed="0" w:uiPriority="99" w:semiHidden="0" w:name="Medium List 2 Accent 5"/>
    <w:lsdException w:qFormat="1" w:unhideWhenUsed="0" w:uiPriority="99" w:semiHidden="0" w:name="Medium Grid 1 Accent 5"/>
    <w:lsdException w:qFormat="1" w:unhideWhenUsed="0" w:uiPriority="99" w:semiHidden="0" w:name="Medium Grid 2 Accent 5"/>
    <w:lsdException w:qFormat="1" w:unhideWhenUsed="0" w:uiPriority="99" w:semiHidden="0" w:name="Medium Grid 3 Accent 5"/>
    <w:lsdException w:qFormat="1" w:unhideWhenUsed="0" w:uiPriority="99" w:semiHidden="0" w:name="Dark List Accent 5"/>
    <w:lsdException w:qFormat="1" w:unhideWhenUsed="0" w:uiPriority="99" w:semiHidden="0" w:name="Colorful Shading Accent 5"/>
    <w:lsdException w:qFormat="1" w:unhideWhenUsed="0" w:uiPriority="99" w:semiHidden="0" w:name="Colorful List Accent 5"/>
    <w:lsdException w:qFormat="1" w:unhideWhenUsed="0" w:uiPriority="99" w:semiHidden="0" w:name="Colorful Grid Accent 5"/>
    <w:lsdException w:qFormat="1" w:unhideWhenUsed="0" w:uiPriority="99" w:semiHidden="0" w:name="Light Shading Accent 6"/>
    <w:lsdException w:qFormat="1" w:unhideWhenUsed="0" w:uiPriority="99" w:semiHidden="0" w:name="Light List Accent 6"/>
    <w:lsdException w:qFormat="1" w:unhideWhenUsed="0" w:uiPriority="99" w:semiHidden="0" w:name="Light Grid Accent 6"/>
    <w:lsdException w:qFormat="1" w:unhideWhenUsed="0" w:uiPriority="99" w:semiHidden="0" w:name="Medium Shading 1 Accent 6"/>
    <w:lsdException w:qFormat="1" w:unhideWhenUsed="0" w:uiPriority="99" w:semiHidden="0" w:name="Medium Shading 2 Accent 6"/>
    <w:lsdException w:qFormat="1" w:unhideWhenUsed="0" w:uiPriority="99" w:semiHidden="0" w:name="Medium List 1 Accent 6"/>
    <w:lsdException w:qFormat="1" w:unhideWhenUsed="0" w:uiPriority="99" w:semiHidden="0" w:name="Medium List 2 Accent 6"/>
    <w:lsdException w:qFormat="1" w:unhideWhenUsed="0" w:uiPriority="99" w:semiHidden="0" w:name="Medium Grid 1 Accent 6"/>
    <w:lsdException w:qFormat="1" w:unhideWhenUsed="0" w:uiPriority="99" w:semiHidden="0" w:name="Medium Grid 2 Accent 6"/>
    <w:lsdException w:qFormat="1" w:unhideWhenUsed="0" w:uiPriority="99" w:semiHidden="0" w:name="Medium Grid 3 Accent 6"/>
    <w:lsdException w:qFormat="1" w:unhideWhenUsed="0" w:uiPriority="99" w:semiHidden="0" w:name="Dark List Accent 6"/>
    <w:lsdException w:qFormat="1" w:unhideWhenUsed="0" w:uiPriority="99" w:semiHidden="0" w:name="Colorful Shading Accent 6"/>
    <w:lsdException w:qFormat="1" w:unhideWhenUsed="0" w:uiPriority="99" w:semiHidden="0" w:name="Colorful List Accent 6"/>
    <w:lsdException w:qFormat="1" w:unhideWhenUsed="0" w:uiPriority="99" w:semiHidden="0" w:name="Colorful Grid Accent 6"/>
  </w:latentStyles>
  <w:style w:type="paragraph" w:default="1" w:styleId="1">
    <w:name w:val="Normal"/>
    <w:unhideWhenUsed/>
    <w:uiPriority w:val="99"/>
    <w:pPr>
      <w:widowControl w:val="0"/>
      <w:autoSpaceDE w:val="0"/>
      <w:autoSpaceDN w:val="0"/>
      <w:adjustRightInd w:val="0"/>
    </w:pPr>
    <w:rPr>
      <w:rFonts w:hint="default" w:ascii="Arial" w:hAnsi="Arial" w:eastAsia="宋体"/>
      <w:color w:val="000000"/>
      <w:sz w:val="24"/>
      <w:szCs w:val="24"/>
    </w:rPr>
  </w:style>
  <w:style w:type="paragraph" w:styleId="2">
    <w:name w:val="heading 1"/>
    <w:unhideWhenUsed/>
    <w:uiPriority w:val="99"/>
    <w:pPr>
      <w:widowControl w:val="0"/>
      <w:autoSpaceDE w:val="0"/>
      <w:autoSpaceDN w:val="0"/>
      <w:adjustRightInd w:val="0"/>
    </w:pPr>
    <w:rPr>
      <w:rFonts w:hint="default" w:ascii="Arial" w:hAnsi="Arial" w:eastAsia="宋体"/>
      <w:b/>
      <w:color w:val="000000"/>
      <w:sz w:val="32"/>
      <w:szCs w:val="24"/>
    </w:rPr>
  </w:style>
  <w:style w:type="paragraph" w:styleId="3">
    <w:name w:val="heading 2"/>
    <w:unhideWhenUsed/>
    <w:uiPriority w:val="99"/>
    <w:pPr>
      <w:widowControl w:val="0"/>
      <w:autoSpaceDE w:val="0"/>
      <w:autoSpaceDN w:val="0"/>
      <w:adjustRightInd w:val="0"/>
    </w:pPr>
    <w:rPr>
      <w:rFonts w:hint="default" w:ascii="Arial" w:hAnsi="Arial" w:eastAsia="宋体"/>
      <w:b/>
      <w:i/>
      <w:color w:val="000000"/>
      <w:sz w:val="28"/>
      <w:szCs w:val="24"/>
    </w:rPr>
  </w:style>
  <w:style w:type="paragraph" w:styleId="4">
    <w:name w:val="heading 3"/>
    <w:unhideWhenUsed/>
    <w:uiPriority w:val="99"/>
    <w:pPr>
      <w:widowControl w:val="0"/>
      <w:autoSpaceDE w:val="0"/>
      <w:autoSpaceDN w:val="0"/>
      <w:adjustRightInd w:val="0"/>
    </w:pPr>
    <w:rPr>
      <w:rFonts w:hint="default" w:ascii="Arial" w:hAnsi="Arial" w:eastAsia="宋体"/>
      <w:b/>
      <w:color w:val="000000"/>
      <w:sz w:val="26"/>
      <w:szCs w:val="24"/>
    </w:rPr>
  </w:style>
  <w:style w:type="character" w:default="1" w:styleId="6">
    <w:name w:val="Default Paragraph Font"/>
    <w:unhideWhenUsed/>
    <w:uiPriority w:val="99"/>
    <w:rPr>
      <w:rFonts w:hint="default"/>
      <w:sz w:val="24"/>
      <w:szCs w:val="24"/>
    </w:rPr>
  </w:style>
  <w:style w:type="table" w:default="1" w:styleId="5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3469</Words>
  <Characters>3818</Characters>
  <TotalTime>0</TotalTime>
  <ScaleCrop>false</ScaleCrop>
  <LinksUpToDate>false</LinksUpToDate>
  <CharactersWithSpaces>3913</CharactersWithSpaces>
  <Application>WPS Office_12.1.0.19770_F1E327BC-269C-435d-A152-05C5408002CA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2026-04-20T07:54:29Z</dcterms:created>
  <dc:creator>HUAWEI</dc:creator>
  <cp:lastModifiedBy>习</cp:lastModifiedBy>
  <dcterms:modified xsi:type="dcterms:W3CDTF">2026-04-20T07:54:56Z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C14E1BED53CF4896AC0D1E545545E3EF_13</vt:lpwstr>
  </property>
</Properties>
</file>