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8F9F19">
      <w:pPr>
        <w:spacing w:beforeLines="0" w:afterLines="0"/>
        <w:rPr>
          <w:rFonts w:hint="default"/>
          <w:sz w:val="2"/>
          <w:szCs w:val="24"/>
        </w:rPr>
      </w:pPr>
    </w:p>
    <w:tbl>
      <w:tblPr>
        <w:tblStyle w:val="7"/>
        <w:tblW w:w="15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 w14:paraId="3D9B5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087244">
            <w:pPr>
              <w:spacing w:beforeLines="0" w:afterLines="0" w:line="1110" w:lineRule="exact"/>
              <w:ind w:left="20"/>
              <w:jc w:val="center"/>
              <w:rPr>
                <w:rFonts w:hint="eastAsia" w:ascii="微软雅黑" w:hAnsi="微软雅黑" w:eastAsia="微软雅黑"/>
                <w:b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岳阳市救助管理站2025年度</w:t>
            </w:r>
          </w:p>
          <w:p w14:paraId="3ADE8202">
            <w:pPr>
              <w:spacing w:beforeLines="0" w:afterLines="0" w:line="1110" w:lineRule="exact"/>
              <w:ind w:left="20"/>
              <w:jc w:val="center"/>
              <w:rPr>
                <w:rFonts w:hint="eastAsia" w:ascii="微软雅黑" w:hAnsi="微软雅黑" w:eastAsia="微软雅黑"/>
                <w:sz w:val="8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84"/>
                <w:szCs w:val="24"/>
              </w:rPr>
              <w:t>单位预算</w:t>
            </w:r>
          </w:p>
        </w:tc>
      </w:tr>
      <w:tr w14:paraId="1A778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6895CC">
            <w:pPr>
              <w:spacing w:beforeLines="0" w:afterLines="0" w:line="525" w:lineRule="exact"/>
              <w:ind w:left="20"/>
              <w:jc w:val="center"/>
              <w:rPr>
                <w:rFonts w:hint="eastAsia" w:ascii="Dialog" w:hAnsi="Dialog"/>
                <w:sz w:val="44"/>
                <w:szCs w:val="24"/>
              </w:rPr>
            </w:pPr>
            <w:r>
              <w:rPr>
                <w:rFonts w:hint="eastAsia" w:ascii="Dialog" w:hAnsi="Dialog"/>
                <w:sz w:val="44"/>
                <w:szCs w:val="24"/>
              </w:rPr>
              <w:t>目录</w:t>
            </w:r>
          </w:p>
        </w:tc>
      </w:tr>
      <w:tr w14:paraId="3590A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1E25CC9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34360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D112F6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2025年单位预算说明</w:t>
            </w:r>
          </w:p>
        </w:tc>
      </w:tr>
      <w:tr w14:paraId="4A538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F334F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2025年单位预算公开表格</w:t>
            </w:r>
          </w:p>
        </w:tc>
      </w:tr>
      <w:tr w14:paraId="2EFEF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4F301B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1、收支总表</w:t>
            </w:r>
          </w:p>
        </w:tc>
      </w:tr>
      <w:tr w14:paraId="7916E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D886C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2、收入总表</w:t>
            </w:r>
          </w:p>
        </w:tc>
      </w:tr>
      <w:tr w14:paraId="217D0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DA534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3、支出总表</w:t>
            </w:r>
          </w:p>
        </w:tc>
      </w:tr>
      <w:tr w14:paraId="5E6B1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DD32429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4、支出预算分类汇总表（按政府预算经济分类）</w:t>
            </w:r>
          </w:p>
        </w:tc>
      </w:tr>
      <w:tr w14:paraId="464FF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28298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5、支出预算分类汇总表（按部门预算经济分类）</w:t>
            </w:r>
          </w:p>
        </w:tc>
      </w:tr>
      <w:tr w14:paraId="3221E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2E417E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6、财政拨款收支总表</w:t>
            </w:r>
          </w:p>
        </w:tc>
      </w:tr>
      <w:tr w14:paraId="56699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3BCDA16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7、一般公共预算支出表</w:t>
            </w:r>
          </w:p>
        </w:tc>
      </w:tr>
      <w:tr w14:paraId="604B6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DD6177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6FE7F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E73A84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4463F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9E0055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3F8BE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00E871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1033B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30E73B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148C7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495B409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722F6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D25E8F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14、一般公共预算“三公”经费支出表</w:t>
            </w:r>
          </w:p>
        </w:tc>
      </w:tr>
      <w:tr w14:paraId="78890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FDABC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15、政府性基金预算支出表</w:t>
            </w:r>
          </w:p>
        </w:tc>
      </w:tr>
      <w:tr w14:paraId="3A418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A56312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28D9F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42B5E8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2BA77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4E20D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18、国有资本经营预算支出表</w:t>
            </w:r>
          </w:p>
        </w:tc>
      </w:tr>
      <w:tr w14:paraId="3B643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655037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19、财政专户管理资金预算支出表</w:t>
            </w:r>
          </w:p>
        </w:tc>
      </w:tr>
      <w:tr w14:paraId="065B3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0B68B44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20、专项资金预算汇总表</w:t>
            </w:r>
          </w:p>
        </w:tc>
      </w:tr>
      <w:tr w14:paraId="2E4BB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F1D5DD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21、项目支出绩效目标表</w:t>
            </w:r>
          </w:p>
        </w:tc>
      </w:tr>
      <w:tr w14:paraId="3724F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946DE3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22、单位整体支出绩效目标表</w:t>
            </w:r>
          </w:p>
        </w:tc>
      </w:tr>
      <w:tr w14:paraId="2A927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AA3EB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23、一般公共预算基本支出表</w:t>
            </w:r>
          </w:p>
        </w:tc>
      </w:tr>
      <w:tr w14:paraId="47869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8686CA">
            <w:pPr>
              <w:spacing w:beforeLines="0" w:afterLines="0" w:line="375" w:lineRule="exact"/>
              <w:ind w:left="20"/>
              <w:rPr>
                <w:rFonts w:hint="eastAsia" w:ascii="Dialog" w:hAnsi="Dialog"/>
                <w:color w:val="FF0000"/>
                <w:sz w:val="32"/>
                <w:szCs w:val="24"/>
              </w:rPr>
            </w:pPr>
            <w:r>
              <w:rPr>
                <w:rFonts w:hint="eastAsia" w:ascii="Dialog" w:hAnsi="Dialog"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  <w:tr w14:paraId="576D8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AC7D06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1BB25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C11830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348FF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88A30A"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第一部分  2025年单位预算说明</w:t>
            </w:r>
          </w:p>
        </w:tc>
      </w:tr>
      <w:tr w14:paraId="74401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A8B034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17619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AC33F05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一、单位基本概况</w:t>
            </w:r>
          </w:p>
        </w:tc>
      </w:tr>
      <w:tr w14:paraId="0740F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BD9278F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（一）职能职责</w:t>
            </w:r>
          </w:p>
        </w:tc>
      </w:tr>
      <w:tr w14:paraId="42FE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F4F0664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负责对城市生活无着的流浪乞讨人员实行临时性救助。负责保障救助对象基本生活权益，及时发送乘车凭证及路途生活费，为其返乡提供服务。</w:t>
            </w:r>
          </w:p>
        </w:tc>
      </w:tr>
      <w:tr w14:paraId="69E0E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472AFC8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（二）机构设置</w:t>
            </w:r>
          </w:p>
        </w:tc>
      </w:tr>
      <w:tr w14:paraId="62D0E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917515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42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 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根据编委核定，我站内设部门6个，编制人员24人，全部纳入202</w:t>
            </w:r>
            <w:r>
              <w:rPr>
                <w:rFonts w:hint="eastAsia" w:ascii="宋体" w:hAnsi="宋体" w:cs="Times New Roman"/>
                <w:sz w:val="3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Times New Roman"/>
                <w:sz w:val="32"/>
                <w:szCs w:val="24"/>
              </w:rPr>
              <w:t>年部门预算编制范围。</w:t>
            </w:r>
          </w:p>
          <w:p w14:paraId="2DACDAB8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42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内设部门分别是</w:t>
            </w:r>
          </w:p>
          <w:p w14:paraId="0138A2F7">
            <w:pPr>
              <w:pStyle w:val="6"/>
              <w:widowControl/>
              <w:numPr>
                <w:ilvl w:val="0"/>
                <w:numId w:val="0"/>
              </w:numPr>
              <w:spacing w:before="0" w:beforeLines="0" w:beforeAutospacing="0" w:after="0" w:afterLines="0" w:afterAutospacing="0" w:line="33" w:lineRule="atLeast"/>
              <w:ind w:left="42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（一）站领导</w:t>
            </w:r>
          </w:p>
          <w:p w14:paraId="7856CC95">
            <w:pPr>
              <w:pStyle w:val="6"/>
              <w:widowControl/>
              <w:numPr>
                <w:ilvl w:val="0"/>
                <w:numId w:val="0"/>
              </w:numPr>
              <w:spacing w:before="0" w:beforeLines="0" w:beforeAutospacing="0" w:after="0" w:afterLines="0" w:afterAutospacing="0" w:line="33" w:lineRule="atLeast"/>
              <w:ind w:left="42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(二)综合部</w:t>
            </w:r>
          </w:p>
          <w:p w14:paraId="2E7BA675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42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(三)救助管理部</w:t>
            </w:r>
          </w:p>
          <w:p w14:paraId="3EAA34EF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320" w:firstLineChars="10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（四）未成年人保护部</w:t>
            </w:r>
          </w:p>
          <w:p w14:paraId="482050EC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320" w:firstLineChars="10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（五）后勤管理部</w:t>
            </w:r>
          </w:p>
          <w:p w14:paraId="5B389AC2">
            <w:pPr>
              <w:pStyle w:val="6"/>
              <w:widowControl/>
              <w:spacing w:before="0" w:beforeLines="0" w:beforeAutospacing="0" w:after="0" w:afterLines="0" w:afterAutospacing="0" w:line="33" w:lineRule="atLeast"/>
              <w:ind w:firstLine="320" w:firstLineChars="100"/>
              <w:jc w:val="both"/>
              <w:rPr>
                <w:rFonts w:hint="eastAsia" w:ascii="宋体" w:hAnsi="宋体" w:cs="Times New Roman"/>
                <w:sz w:val="32"/>
                <w:szCs w:val="24"/>
              </w:rPr>
            </w:pPr>
            <w:r>
              <w:rPr>
                <w:rFonts w:hint="eastAsia" w:ascii="宋体" w:hAnsi="宋体" w:cs="Times New Roman"/>
                <w:sz w:val="32"/>
                <w:szCs w:val="24"/>
              </w:rPr>
              <w:t>（六）医务室</w:t>
            </w:r>
          </w:p>
          <w:p w14:paraId="55FFEA8D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</w:p>
        </w:tc>
      </w:tr>
      <w:tr w14:paraId="639D3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DE20177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二、单位预算单位构成</w:t>
            </w:r>
          </w:p>
        </w:tc>
      </w:tr>
      <w:tr w14:paraId="025E3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EAD0B0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本单位预算仅含本级预算。</w:t>
            </w:r>
          </w:p>
        </w:tc>
      </w:tr>
      <w:tr w14:paraId="054CC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5D1A32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三、单位收支总体情况</w:t>
            </w:r>
          </w:p>
        </w:tc>
      </w:tr>
      <w:tr w14:paraId="3AFA0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C7A92E6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      </w:r>
          </w:p>
        </w:tc>
      </w:tr>
      <w:tr w14:paraId="69E59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6102E2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（一）收入预算</w:t>
            </w:r>
          </w:p>
        </w:tc>
      </w:tr>
      <w:tr w14:paraId="06AD1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13E853E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包括一般公共预算、政府性基金、国有资本经营预算等财政拨款收入，以及经营收入、事业收入等单位资金。2025年度本单位收入预算511.07万元，其中，一般公共预算拨款511.07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增加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6.32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万元，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上升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1.25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%，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主要是因为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增加了残疾人保障金、人员工资普调和经开区因社会职能剥离改革划转至本单位人员。</w:t>
            </w:r>
          </w:p>
        </w:tc>
      </w:tr>
      <w:tr w14:paraId="7FBF2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E176B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（二）支出预算</w:t>
            </w:r>
          </w:p>
        </w:tc>
      </w:tr>
      <w:tr w14:paraId="7E027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CE8838F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2025年本单位支出预算511.07万元，其中，208社会保障和就业支出480.39万元，210卫生健康支出6.09万元，221住房保障支出24.59万元，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支出较去年增加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6.32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，上升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1.25</w:t>
            </w:r>
            <w:r>
              <w:rPr>
                <w:rFonts w:hint="eastAsia" w:ascii="宋体" w:hAnsi="宋体" w:eastAsia="宋体"/>
                <w:sz w:val="32"/>
                <w:szCs w:val="24"/>
              </w:rPr>
              <w:t>%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，主要是因为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增加了残疾人保障金、人员工资普调和经开区因社会职能剥离改革划转至本单位人员。</w:t>
            </w:r>
          </w:p>
        </w:tc>
      </w:tr>
      <w:tr w14:paraId="0A3FA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5A53D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四、一般公共预算拨款支出预算</w:t>
            </w:r>
          </w:p>
        </w:tc>
      </w:tr>
      <w:tr w14:paraId="6E2EA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C9FD8D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2025年一般公共预算拨款支出预算511.07万元，其中，208社会保障和就业支出480.39万元，占94%；210卫生健康支出6.09万元，占1.19%；221住房保障支出24.59万元，占4.81%；具体安排情况如下：</w:t>
            </w:r>
          </w:p>
        </w:tc>
      </w:tr>
      <w:tr w14:paraId="4679E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B332405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一）基本支出：2025年基本支出年初预算数为501.57万元（数据来源见表23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14:paraId="233E8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829FD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（二）项目支出：2025年项目支出年初预算数为9.50万元（数据来源见表20），是指单位为完成特定行政工作任务或事业发展目标而发生的支出，包括有关业务工作经费、运行维护经费、其他事业发展资金等。其中：日常工作经费专项支出9.50万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元，主要用于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eastAsia="zh-CN"/>
              </w:rPr>
              <w:t>对流浪乞讨人员实行临时性救助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方面。</w:t>
            </w:r>
          </w:p>
        </w:tc>
      </w:tr>
      <w:tr w14:paraId="068F0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D45385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五、政府性基金预算支出</w:t>
            </w:r>
          </w:p>
        </w:tc>
      </w:tr>
      <w:tr w14:paraId="662AC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67BEF7C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2025年度本单位无政府性基金安排的支出，所以公开的附件15-17（政府性基金预算）为空。</w:t>
            </w:r>
          </w:p>
        </w:tc>
      </w:tr>
      <w:tr w14:paraId="1EE2C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3C331A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六、其他重要事项的情况说明</w:t>
            </w:r>
          </w:p>
        </w:tc>
      </w:tr>
      <w:tr w14:paraId="3B9A7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996E3D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（一）机关运行经费</w:t>
            </w:r>
          </w:p>
        </w:tc>
      </w:tr>
      <w:tr w14:paraId="726B5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4D9B8DD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  <w:lang w:val="en-US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本单位2025年机关运行经费当年一般公共预算拨款75.89万元（数据来源见表12），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比上一年增加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5.31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万元，增加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%。主要原因是</w:t>
            </w:r>
            <w:r>
              <w:rPr>
                <w:rFonts w:hint="eastAsia" w:ascii="宋体" w:hAnsi="宋体"/>
                <w:sz w:val="32"/>
                <w:szCs w:val="24"/>
                <w:lang w:eastAsia="zh-CN"/>
              </w:rPr>
              <w:t>增加了残疾人保障金。</w:t>
            </w:r>
          </w:p>
        </w:tc>
      </w:tr>
      <w:tr w14:paraId="7E898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DB8282C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（二）“三公”经费预算</w:t>
            </w:r>
          </w:p>
        </w:tc>
      </w:tr>
      <w:tr w14:paraId="6D38D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52C81A8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本单位2025年“三公”经费预算数7.00万元（数据来源见表14），其中，公务接待费1.00万元，因公出国（境）费0.00万元，公务用车购置及运行费6.00万元（其中，公务用车购置费0.00万元，公务用车运行费6.00万元）。202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32"/>
                <w:szCs w:val="24"/>
              </w:rPr>
              <w:t>年三公经费预算与上年持平，没有增减金额，没有增减比值。</w:t>
            </w:r>
          </w:p>
        </w:tc>
      </w:tr>
      <w:tr w14:paraId="344BC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3E176F">
            <w:pPr>
              <w:spacing w:beforeLines="0" w:afterLines="0" w:line="375" w:lineRule="exact"/>
              <w:ind w:left="20"/>
              <w:rPr>
                <w:rFonts w:hint="eastAsia" w:ascii="Dialog" w:hAnsi="Dialog" w:cs="Times New Roman"/>
                <w:sz w:val="32"/>
                <w:szCs w:val="24"/>
              </w:rPr>
            </w:pPr>
            <w:r>
              <w:rPr>
                <w:rFonts w:hint="eastAsia" w:ascii="Dialog" w:hAnsi="Dialog" w:cs="Times New Roman"/>
                <w:sz w:val="32"/>
                <w:szCs w:val="24"/>
              </w:rPr>
              <w:t xml:space="preserve">  （三）一般性支出情况</w:t>
            </w:r>
          </w:p>
        </w:tc>
      </w:tr>
      <w:tr w14:paraId="06D33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E20E535">
            <w:pPr>
              <w:spacing w:beforeLines="0" w:afterLines="0" w:line="375" w:lineRule="exact"/>
              <w:ind w:left="20"/>
              <w:rPr>
                <w:rFonts w:hint="eastAsia" w:ascii="Dialog" w:hAnsi="Dialog" w:cs="Times New Roman"/>
                <w:sz w:val="32"/>
                <w:szCs w:val="24"/>
              </w:rPr>
            </w:pPr>
            <w:r>
              <w:rPr>
                <w:rFonts w:hint="eastAsia" w:ascii="Dialog" w:hAnsi="Dialog" w:cs="Times New Roman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32"/>
                <w:szCs w:val="24"/>
              </w:rPr>
              <w:t>202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5</w:t>
            </w:r>
            <w:r>
              <w:rPr>
                <w:rFonts w:hint="eastAsia" w:ascii="Dialog" w:hAnsi="Dialog" w:cs="Times New Roman"/>
                <w:sz w:val="32"/>
                <w:szCs w:val="24"/>
              </w:rPr>
              <w:t>年度本单位未计划安排会议、培训，未计划举办节庆、晚会、论坛、赛事活动。</w:t>
            </w:r>
          </w:p>
          <w:tbl>
            <w:tblPr>
              <w:tblStyle w:val="7"/>
              <w:tblW w:w="15306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306"/>
            </w:tblGrid>
            <w:tr w14:paraId="11EDD2D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4" w:hRule="atLeast"/>
              </w:trPr>
              <w:tc>
                <w:tcPr>
                  <w:tcW w:w="15306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  <w:tl2br w:val="nil"/>
                    <w:tr2bl w:val="nil"/>
                  </w:tcBorders>
                  <w:shd w:val="clear" w:color="auto" w:fill="FFFFFF"/>
                  <w:noWrap w:val="0"/>
                  <w:vAlign w:val="center"/>
                </w:tcPr>
                <w:p w14:paraId="3DD93FE7">
                  <w:pPr>
                    <w:spacing w:beforeLines="0" w:afterLines="0" w:line="375" w:lineRule="exact"/>
                    <w:ind w:firstLine="320" w:firstLineChars="100"/>
                    <w:rPr>
                      <w:rFonts w:hint="eastAsia" w:ascii="Dialog" w:hAnsi="Dialog"/>
                      <w:color w:val="auto"/>
                      <w:sz w:val="32"/>
                      <w:szCs w:val="24"/>
                    </w:rPr>
                  </w:pPr>
                  <w:r>
                    <w:rPr>
                      <w:rFonts w:hint="eastAsia" w:ascii="Dialog" w:hAnsi="Dialog"/>
                      <w:color w:val="auto"/>
                      <w:sz w:val="32"/>
                      <w:szCs w:val="24"/>
                    </w:rPr>
                    <w:t>（四）委托业务费情况</w:t>
                  </w:r>
                </w:p>
              </w:tc>
            </w:tr>
            <w:tr w14:paraId="62539B3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28" w:hRule="atLeast"/>
              </w:trPr>
              <w:tc>
                <w:tcPr>
                  <w:tcW w:w="15306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  <w:tl2br w:val="nil"/>
                    <w:tr2bl w:val="nil"/>
                  </w:tcBorders>
                  <w:shd w:val="clear" w:color="auto" w:fill="FFFFFF"/>
                  <w:noWrap w:val="0"/>
                  <w:vAlign w:val="center"/>
                </w:tcPr>
                <w:p w14:paraId="73F00C9F">
                  <w:pPr>
                    <w:spacing w:beforeLines="0" w:afterLines="0" w:line="375" w:lineRule="exact"/>
                    <w:ind w:left="20"/>
                    <w:rPr>
                      <w:rFonts w:hint="eastAsia" w:ascii="宋体" w:hAnsi="宋体" w:eastAsia="宋体"/>
                      <w:color w:val="auto"/>
                      <w:sz w:val="32"/>
                      <w:szCs w:val="24"/>
                    </w:rPr>
                  </w:pPr>
                  <w:r>
                    <w:rPr>
                      <w:rFonts w:hint="eastAsia" w:ascii="宋体" w:hAnsi="宋体" w:eastAsia="宋体"/>
                      <w:color w:val="auto"/>
                      <w:sz w:val="32"/>
                      <w:szCs w:val="24"/>
                    </w:rPr>
                    <w:t xml:space="preserve">  本单位202</w:t>
                  </w:r>
                  <w:r>
                    <w:rPr>
                      <w:rFonts w:hint="eastAsia" w:ascii="宋体" w:hAnsi="宋体"/>
                      <w:color w:val="auto"/>
                      <w:sz w:val="32"/>
                      <w:szCs w:val="24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eastAsia="宋体"/>
                      <w:color w:val="auto"/>
                      <w:sz w:val="32"/>
                      <w:szCs w:val="24"/>
                    </w:rPr>
                    <w:t>年本级委托业务费</w:t>
                  </w:r>
                  <w:r>
                    <w:rPr>
                      <w:rFonts w:hint="eastAsia" w:ascii="宋体" w:hAnsi="宋体"/>
                      <w:color w:val="auto"/>
                      <w:sz w:val="32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color w:val="auto"/>
                      <w:sz w:val="32"/>
                      <w:szCs w:val="24"/>
                    </w:rPr>
                    <w:t>万元，</w:t>
                  </w:r>
                  <w:r>
                    <w:rPr>
                      <w:rFonts w:hint="eastAsia" w:ascii="宋体" w:hAnsi="宋体"/>
                      <w:sz w:val="32"/>
                      <w:szCs w:val="24"/>
                    </w:rPr>
                    <w:t>与上年持平，没有增减金额，没有增减比值。</w:t>
                  </w:r>
                  <w:bookmarkStart w:id="0" w:name="_GoBack"/>
                  <w:bookmarkEnd w:id="0"/>
                </w:p>
              </w:tc>
            </w:tr>
          </w:tbl>
          <w:p w14:paraId="5EA463B4">
            <w:pPr>
              <w:pStyle w:val="2"/>
              <w:bidi w:val="0"/>
              <w:ind w:firstLine="321" w:firstLineChars="100"/>
              <w:rPr>
                <w:rFonts w:hint="eastAsia" w:eastAsia="宋体"/>
                <w:lang w:eastAsia="zh-CN"/>
              </w:rPr>
            </w:pPr>
          </w:p>
        </w:tc>
      </w:tr>
      <w:tr w14:paraId="5E834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7F76722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</w:t>
            </w:r>
            <w:r>
              <w:rPr>
                <w:rFonts w:hint="eastAsia" w:ascii="Dialog" w:hAnsi="Dialog"/>
                <w:sz w:val="32"/>
                <w:szCs w:val="24"/>
                <w:lang w:eastAsia="zh-CN"/>
              </w:rPr>
              <w:t>五</w:t>
            </w:r>
            <w:r>
              <w:rPr>
                <w:rFonts w:hint="eastAsia" w:ascii="Dialog" w:hAnsi="Dialog"/>
                <w:sz w:val="32"/>
                <w:szCs w:val="24"/>
              </w:rPr>
              <w:t>）政府采购情况</w:t>
            </w:r>
          </w:p>
        </w:tc>
      </w:tr>
      <w:tr w14:paraId="7F436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8D8E62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本单位2025年政府采购预算总额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863.15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万元，其中货物类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152.3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万元，服务类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710.85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万元。</w:t>
            </w:r>
          </w:p>
        </w:tc>
      </w:tr>
      <w:tr w14:paraId="0488F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931A6E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</w:t>
            </w:r>
            <w:r>
              <w:rPr>
                <w:rFonts w:hint="eastAsia" w:ascii="Dialog" w:hAnsi="Dialog"/>
                <w:sz w:val="32"/>
                <w:szCs w:val="24"/>
                <w:lang w:eastAsia="zh-CN"/>
              </w:rPr>
              <w:t>六</w:t>
            </w:r>
            <w:r>
              <w:rPr>
                <w:rFonts w:hint="eastAsia" w:ascii="Dialog" w:hAnsi="Dialog"/>
                <w:sz w:val="32"/>
                <w:szCs w:val="24"/>
              </w:rPr>
              <w:t>）国有资产占有使用及新增资产配置情况</w:t>
            </w:r>
          </w:p>
        </w:tc>
      </w:tr>
      <w:tr w14:paraId="22724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C80F64">
            <w:pPr>
              <w:spacing w:beforeLines="0" w:afterLines="0" w:line="375" w:lineRule="exact"/>
              <w:ind w:left="20"/>
              <w:rPr>
                <w:rFonts w:hint="eastAsia" w:ascii="宋体" w:hAnsi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截至上年底，本单位共有车辆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color w:val="auto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>台。</w:t>
            </w:r>
            <w:r>
              <w:rPr>
                <w:rFonts w:hint="eastAsia" w:ascii="宋体" w:hAnsi="宋体"/>
                <w:color w:val="FF0000"/>
                <w:sz w:val="32"/>
                <w:szCs w:val="24"/>
              </w:rPr>
              <w:t xml:space="preserve"> </w:t>
            </w:r>
          </w:p>
          <w:p w14:paraId="0204923D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截至上年底，本单位共有车辆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辆，其中领导干部用车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辆，一般公务用车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32"/>
                <w:szCs w:val="24"/>
              </w:rPr>
              <w:t>辆，其他用车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辆。单位价值50万元以上通用设备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>台，单位价值100万元以上专用设备</w:t>
            </w:r>
            <w:r>
              <w:rPr>
                <w:rFonts w:hint="eastAsia" w:ascii="宋体" w:hAnsi="宋体"/>
                <w:sz w:val="32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32"/>
                <w:szCs w:val="24"/>
              </w:rPr>
              <w:t xml:space="preserve">台。 </w:t>
            </w:r>
          </w:p>
          <w:p w14:paraId="7D71930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color w:val="FF0000"/>
                <w:sz w:val="32"/>
                <w:szCs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32"/>
                <w:szCs w:val="24"/>
              </w:rPr>
              <w:t xml:space="preserve"> 2025年度本单位未计划处置或新增车辆、设备等。</w:t>
            </w:r>
          </w:p>
        </w:tc>
      </w:tr>
      <w:tr w14:paraId="1CE25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C07170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（</w:t>
            </w:r>
            <w:r>
              <w:rPr>
                <w:rFonts w:hint="eastAsia" w:ascii="Dialog" w:hAnsi="Dialog"/>
                <w:sz w:val="32"/>
                <w:szCs w:val="24"/>
                <w:lang w:eastAsia="zh-CN"/>
              </w:rPr>
              <w:t>七</w:t>
            </w:r>
            <w:r>
              <w:rPr>
                <w:rFonts w:hint="eastAsia" w:ascii="Dialog" w:hAnsi="Dialog"/>
                <w:sz w:val="32"/>
                <w:szCs w:val="24"/>
              </w:rPr>
              <w:t>）预算绩效目标说明</w:t>
            </w:r>
          </w:p>
        </w:tc>
      </w:tr>
      <w:tr w14:paraId="06B3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54B9EF9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  本单位所有支出实行绩效目标管理。纳入2025年单位整体支出绩效目标的金额为511.07万元，其中，基本支出501.57万元，项目支出9.50万元，详见文尾附表中单位预算公开表格的表21-22。</w:t>
            </w:r>
          </w:p>
        </w:tc>
      </w:tr>
      <w:tr w14:paraId="08616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441591">
            <w:pPr>
              <w:spacing w:beforeLines="0" w:afterLines="0" w:line="375" w:lineRule="exact"/>
              <w:ind w:left="20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 xml:space="preserve">  七、名词解释</w:t>
            </w:r>
          </w:p>
        </w:tc>
      </w:tr>
      <w:tr w14:paraId="0512C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2C904EF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 w14:paraId="24FB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5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5041C4E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 xml:space="preserve">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 w14:paraId="524C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B76EFBE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65EB0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C97A9D1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0F6A1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D3863D">
            <w:pPr>
              <w:spacing w:beforeLines="0" w:afterLines="0"/>
              <w:rPr>
                <w:rFonts w:hint="default"/>
                <w:sz w:val="24"/>
                <w:szCs w:val="24"/>
              </w:rPr>
            </w:pPr>
          </w:p>
        </w:tc>
      </w:tr>
      <w:tr w14:paraId="73E80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BB127E5">
            <w:pPr>
              <w:spacing w:beforeLines="0" w:afterLines="0" w:line="375" w:lineRule="exact"/>
              <w:ind w:left="20"/>
              <w:jc w:val="center"/>
              <w:rPr>
                <w:rFonts w:hint="eastAsia" w:ascii="Dialog" w:hAnsi="Dialog"/>
                <w:sz w:val="32"/>
                <w:szCs w:val="24"/>
              </w:rPr>
            </w:pPr>
            <w:r>
              <w:rPr>
                <w:rFonts w:hint="eastAsia" w:ascii="Dialog" w:hAnsi="Dialog"/>
                <w:sz w:val="32"/>
                <w:szCs w:val="24"/>
              </w:rPr>
              <w:t>第二部分  2025年单位预算公开表格</w:t>
            </w:r>
          </w:p>
        </w:tc>
      </w:tr>
      <w:tr w14:paraId="29E74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1EBA06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1、收支总表</w:t>
            </w:r>
          </w:p>
        </w:tc>
      </w:tr>
      <w:tr w14:paraId="5D683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AAD08B7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2、收入总表</w:t>
            </w:r>
          </w:p>
        </w:tc>
      </w:tr>
      <w:tr w14:paraId="5504C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10A8DE2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3、支出总表</w:t>
            </w:r>
          </w:p>
        </w:tc>
      </w:tr>
      <w:tr w14:paraId="4A686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AF604F3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4、支出预算分类汇总表（按政府预算经济分类）</w:t>
            </w:r>
          </w:p>
        </w:tc>
      </w:tr>
      <w:tr w14:paraId="3BF20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A34D1B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5、支出预算分类汇总表（按部门预算经济分类）</w:t>
            </w:r>
          </w:p>
        </w:tc>
      </w:tr>
      <w:tr w14:paraId="028C7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5808FAF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6、财政拨款收支总表</w:t>
            </w:r>
          </w:p>
        </w:tc>
      </w:tr>
      <w:tr w14:paraId="058CE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E58AAF3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7、一般公共预算支出表</w:t>
            </w:r>
          </w:p>
        </w:tc>
      </w:tr>
      <w:tr w14:paraId="1DEE3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627354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8、一般公共预算基本支出表-人员经费（工资福利支出）（按政府预算经济分类）</w:t>
            </w:r>
          </w:p>
        </w:tc>
      </w:tr>
      <w:tr w14:paraId="2D3F7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F268677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9、一般公共预算基本支出表-人员经费（工资福利支出）（按部门预算经济分类）</w:t>
            </w:r>
          </w:p>
        </w:tc>
      </w:tr>
      <w:tr w14:paraId="4B2E0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457F80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10、一般公共预算基本支出表-人员经费（对个人和家庭的补助）（按政府预算经济分类）</w:t>
            </w:r>
          </w:p>
        </w:tc>
      </w:tr>
      <w:tr w14:paraId="07E5C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B74388B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11、一般公共预算基本支出表-人员经费（对个人和家庭的补助）（按部门预算经济分类）</w:t>
            </w:r>
          </w:p>
        </w:tc>
      </w:tr>
      <w:tr w14:paraId="58D42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79C3362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12、一般公共预算基本支出表-公用经费（商品和服务支出）（按政府预算经济分类）</w:t>
            </w:r>
          </w:p>
        </w:tc>
      </w:tr>
      <w:tr w14:paraId="1D18B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2216192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13、一般公共预算基本支出表-公用经费（商品和服务支出）（按部门预算经济分类）</w:t>
            </w:r>
          </w:p>
        </w:tc>
      </w:tr>
      <w:tr w14:paraId="28B27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B7996DB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14、一般公共预算“三公”经费支出表</w:t>
            </w:r>
          </w:p>
        </w:tc>
      </w:tr>
      <w:tr w14:paraId="6D07A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85CF6A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15、政府性基金预算支出表</w:t>
            </w:r>
          </w:p>
        </w:tc>
      </w:tr>
      <w:tr w14:paraId="61BB7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05B150F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16、政府性基金预算支出分类汇总表（按政府预算经济分类）</w:t>
            </w:r>
          </w:p>
        </w:tc>
      </w:tr>
      <w:tr w14:paraId="41E72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3E72BEA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17、政府性基金预算支出分类汇总表（按部门预算经济分类）</w:t>
            </w:r>
          </w:p>
        </w:tc>
      </w:tr>
      <w:tr w14:paraId="0F623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8F7987D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18、国有资本经营预算支出表</w:t>
            </w:r>
          </w:p>
        </w:tc>
      </w:tr>
      <w:tr w14:paraId="338A4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21269C6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19、财政专户管理资金预算支出表</w:t>
            </w:r>
          </w:p>
        </w:tc>
      </w:tr>
      <w:tr w14:paraId="5B5A5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A14E050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20、专项资金预算汇总表</w:t>
            </w:r>
          </w:p>
        </w:tc>
      </w:tr>
      <w:tr w14:paraId="62CAC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8762453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21、项目支出绩效目标表</w:t>
            </w:r>
          </w:p>
        </w:tc>
      </w:tr>
      <w:tr w14:paraId="4CB73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8F4344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22、单位整体支出绩效目标表</w:t>
            </w:r>
          </w:p>
        </w:tc>
      </w:tr>
      <w:tr w14:paraId="09B62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F2499DD">
            <w:pPr>
              <w:spacing w:beforeLines="0" w:afterLines="0" w:line="375" w:lineRule="exact"/>
              <w:ind w:left="20"/>
              <w:rPr>
                <w:rFonts w:hint="eastAsia" w:ascii="宋体" w:hAnsi="宋体"/>
                <w:sz w:val="32"/>
                <w:szCs w:val="24"/>
              </w:rPr>
            </w:pPr>
            <w:r>
              <w:rPr>
                <w:rFonts w:hint="eastAsia" w:ascii="宋体" w:hAnsi="宋体"/>
                <w:sz w:val="32"/>
                <w:szCs w:val="24"/>
              </w:rPr>
              <w:t>23、一般公共预算基本支出表</w:t>
            </w:r>
          </w:p>
        </w:tc>
      </w:tr>
      <w:tr w14:paraId="35392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909FE5A">
            <w:pPr>
              <w:spacing w:beforeLines="0" w:afterLines="0" w:line="375" w:lineRule="exact"/>
              <w:ind w:left="20"/>
              <w:rPr>
                <w:rFonts w:hint="eastAsia" w:ascii="宋体" w:hAnsi="宋体"/>
                <w:color w:val="FF0000"/>
                <w:sz w:val="32"/>
                <w:szCs w:val="24"/>
              </w:rPr>
            </w:pPr>
            <w:r>
              <w:rPr>
                <w:rFonts w:hint="eastAsia" w:ascii="宋体" w:hAnsi="宋体"/>
                <w:b/>
                <w:color w:val="FF0000"/>
                <w:sz w:val="32"/>
                <w:szCs w:val="24"/>
              </w:rPr>
              <w:t>注：以上单位预算公开报表中，空表表示本单位无相关收支情况。</w:t>
            </w:r>
          </w:p>
        </w:tc>
      </w:tr>
    </w:tbl>
    <w:p w14:paraId="03DDE7A8">
      <w:pPr>
        <w:spacing w:beforeLines="0" w:afterLines="0"/>
        <w:rPr>
          <w:rFonts w:hint="default"/>
          <w:sz w:val="24"/>
          <w:szCs w:val="24"/>
        </w:rPr>
      </w:pPr>
    </w:p>
    <w:sectPr>
      <w:pgSz w:w="18708" w:h="15840"/>
      <w:pgMar w:top="388" w:right="1080" w:bottom="388" w:left="10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8D35F51"/>
    <w:rsid w:val="4E223CAC"/>
    <w:rsid w:val="6E0C01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uiPriority="99" w:semiHidden="0" w:name="heading 1"/>
    <w:lsdException w:qFormat="1" w:uiPriority="99" w:semiHidden="0" w:name="heading 2"/>
    <w:lsdException w:qFormat="1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iPriority="0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paragraph" w:styleId="2">
    <w:name w:val="heading 1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  <w:szCs w:val="24"/>
    </w:rPr>
  </w:style>
  <w:style w:type="paragraph" w:styleId="3">
    <w:name w:val="heading 2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  <w:szCs w:val="24"/>
    </w:rPr>
  </w:style>
  <w:style w:type="paragraph" w:styleId="4">
    <w:name w:val="heading 3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26"/>
      <w:szCs w:val="24"/>
    </w:rPr>
  </w:style>
  <w:style w:type="character" w:default="1" w:styleId="8">
    <w:name w:val="Default Paragraph Font"/>
    <w:unhideWhenUsed/>
    <w:uiPriority w:val="99"/>
    <w:rPr>
      <w:rFonts w:hint="default"/>
      <w:sz w:val="24"/>
      <w:szCs w:val="24"/>
    </w:rPr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a heading"/>
    <w:basedOn w:val="1"/>
    <w:next w:val="1"/>
    <w:unhideWhenUsed/>
    <w:qFormat/>
    <w:uiPriority w:val="99"/>
    <w:pPr>
      <w:spacing w:before="120" w:beforeLines="0" w:after="200" w:afterLines="0" w:line="276" w:lineRule="auto"/>
    </w:pPr>
    <w:rPr>
      <w:rFonts w:hint="default" w:ascii="Arial" w:hAnsi="Arial"/>
      <w:sz w:val="24"/>
      <w:szCs w:val="24"/>
    </w:rPr>
  </w:style>
  <w:style w:type="paragraph" w:styleId="6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</w:pPr>
    <w:rPr>
      <w:rFonts w:hint="default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3086</Words>
  <Characters>3379</Characters>
  <TotalTime>3</TotalTime>
  <ScaleCrop>false</ScaleCrop>
  <LinksUpToDate>false</LinksUpToDate>
  <CharactersWithSpaces>3465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2026-07-07T01:31:00Z</dcterms:created>
  <dc:creator>Administrator</dc:creator>
  <cp:lastModifiedBy>认真工作的土豆</cp:lastModifiedBy>
  <dcterms:modified xsi:type="dcterms:W3CDTF">2026-07-07T06:54:32Z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54C618156FA14480A2A61CB27FF8CDBD_13</vt:lpwstr>
  </property>
</Properties>
</file>